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57D" w:rsidRPr="0086557D" w:rsidRDefault="0086557D" w:rsidP="0086557D">
      <w:pPr>
        <w:tabs>
          <w:tab w:val="left" w:pos="1276"/>
        </w:tabs>
        <w:rPr>
          <w:rFonts w:eastAsia="Times"/>
          <w:b/>
          <w:bCs/>
          <w:i/>
          <w:iCs/>
          <w:color w:val="000000"/>
          <w:sz w:val="40"/>
          <w:szCs w:val="40"/>
          <w:lang w:val="en-US"/>
        </w:rPr>
      </w:pPr>
      <w:bookmarkStart w:id="0" w:name="_GoBack"/>
      <w:bookmarkEnd w:id="0"/>
      <w:r w:rsidRPr="0086557D">
        <w:rPr>
          <w:rFonts w:eastAsia="Times"/>
          <w:b/>
          <w:bCs/>
          <w:i/>
          <w:iCs/>
          <w:color w:val="000000"/>
          <w:sz w:val="40"/>
          <w:szCs w:val="40"/>
          <w:lang w:val="en-US"/>
        </w:rPr>
        <w:t>HOF and HIRA Assessment of EP#11 and EP#12</w:t>
      </w:r>
    </w:p>
    <w:p w:rsidR="00B1768C" w:rsidRPr="0086557D" w:rsidRDefault="00B1768C" w:rsidP="0086557D">
      <w:pPr>
        <w:tabs>
          <w:tab w:val="left" w:pos="1276"/>
        </w:tabs>
        <w:jc w:val="center"/>
        <w:rPr>
          <w:rFonts w:eastAsia="Times"/>
          <w:b/>
          <w:bCs/>
          <w:i/>
          <w:iCs/>
          <w:color w:val="000000"/>
          <w:sz w:val="40"/>
          <w:szCs w:val="40"/>
          <w:lang w:val="en-US"/>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626F0A">
        <w:rPr>
          <w:rFonts w:eastAsia="SimSun"/>
          <w:szCs w:val="24"/>
        </w:rPr>
        <w:t>Call for Expertise</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0E1A50">
        <w:rPr>
          <w:b/>
          <w:bCs/>
        </w:rPr>
        <w:t>P</w:t>
      </w:r>
      <w:r w:rsidR="00D14686">
        <w:rPr>
          <w:b/>
          <w:bCs/>
        </w:rPr>
        <w:t>art</w:t>
      </w:r>
      <w:r w:rsidRPr="00F63EE5">
        <w:rPr>
          <w:b/>
          <w:bCs/>
        </w:rPr>
        <w:t>:</w:t>
      </w:r>
      <w:r w:rsidR="0015661F">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0" w:type="auto"/>
        <w:tblLook w:val="04A0" w:firstRow="1" w:lastRow="0" w:firstColumn="1" w:lastColumn="0" w:noHBand="0" w:noVBand="1"/>
      </w:tblPr>
      <w:tblGrid>
        <w:gridCol w:w="959"/>
        <w:gridCol w:w="5811"/>
        <w:gridCol w:w="1135"/>
        <w:gridCol w:w="1337"/>
      </w:tblGrid>
      <w:tr w:rsidR="00626F0A" w:rsidRPr="007C094D" w:rsidTr="00E236DA">
        <w:trPr>
          <w:tblHeader/>
        </w:trPr>
        <w:tc>
          <w:tcPr>
            <w:tcW w:w="959" w:type="dxa"/>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Pr>
                <w:b/>
                <w:bCs/>
                <w:szCs w:val="24"/>
                <w:lang w:val="en-US"/>
              </w:rPr>
              <w:t>D</w:t>
            </w:r>
          </w:p>
        </w:tc>
        <w:tc>
          <w:tcPr>
            <w:tcW w:w="5811" w:type="dxa"/>
            <w:shd w:val="clear" w:color="auto" w:fill="C4BC96" w:themeFill="background2" w:themeFillShade="BF"/>
            <w:vAlign w:val="center"/>
          </w:tcPr>
          <w:p w:rsidR="00626F0A" w:rsidRPr="007C094D" w:rsidRDefault="00626F0A" w:rsidP="0015661F">
            <w:pPr>
              <w:tabs>
                <w:tab w:val="left" w:pos="1134"/>
                <w:tab w:val="left" w:pos="5760"/>
              </w:tabs>
              <w:jc w:val="center"/>
              <w:rPr>
                <w:b/>
                <w:bCs/>
                <w:szCs w:val="24"/>
                <w:lang w:val="en-US"/>
              </w:rPr>
            </w:pPr>
            <w:r w:rsidRPr="007C094D">
              <w:rPr>
                <w:b/>
                <w:bCs/>
                <w:szCs w:val="24"/>
                <w:lang w:val="en-US"/>
              </w:rPr>
              <w:t xml:space="preserve">Description in Technical Specifications </w:t>
            </w:r>
            <w:r w:rsidR="00B1768C">
              <w:rPr>
                <w:b/>
                <w:bCs/>
                <w:szCs w:val="24"/>
                <w:lang w:val="en-US"/>
              </w:rPr>
              <w:t>ITER_D_</w:t>
            </w:r>
            <w:r w:rsidR="0015661F">
              <w:rPr>
                <w:b/>
                <w:bCs/>
                <w:szCs w:val="24"/>
                <w:lang w:val="en-US"/>
              </w:rPr>
              <w:t>XFBD2S v1.2</w:t>
            </w:r>
            <w:r w:rsidR="0015661F">
              <w:rPr>
                <w:b/>
                <w:bCs/>
                <w:szCs w:val="24"/>
              </w:rPr>
              <w:t xml:space="preserve"> dated 22 October</w:t>
            </w:r>
            <w:r>
              <w:rPr>
                <w:b/>
                <w:bCs/>
                <w:szCs w:val="24"/>
              </w:rPr>
              <w:t xml:space="preserve"> 2018</w:t>
            </w:r>
          </w:p>
        </w:tc>
        <w:tc>
          <w:tcPr>
            <w:tcW w:w="1135" w:type="dxa"/>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Date</w:t>
            </w:r>
          </w:p>
        </w:tc>
        <w:tc>
          <w:tcPr>
            <w:tcW w:w="1337" w:type="dxa"/>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rPr>
              <w:t>Price (EUR)</w:t>
            </w:r>
          </w:p>
        </w:tc>
      </w:tr>
      <w:tr w:rsidR="00626F0A" w:rsidRPr="007C094D" w:rsidTr="00E236DA">
        <w:trPr>
          <w:tblHeader/>
        </w:trPr>
        <w:tc>
          <w:tcPr>
            <w:tcW w:w="959" w:type="dxa"/>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D1</w:t>
            </w:r>
            <w:r w:rsidR="004D5DA3">
              <w:rPr>
                <w:bCs/>
                <w:szCs w:val="24"/>
                <w:lang w:val="en-US"/>
              </w:rPr>
              <w:t>2-1</w:t>
            </w:r>
          </w:p>
        </w:tc>
        <w:tc>
          <w:tcPr>
            <w:tcW w:w="5811" w:type="dxa"/>
            <w:vAlign w:val="center"/>
          </w:tcPr>
          <w:p w:rsidR="00626F0A" w:rsidRPr="00D2177B" w:rsidRDefault="004D5DA3" w:rsidP="00D2177B">
            <w:pPr>
              <w:tabs>
                <w:tab w:val="left" w:pos="1134"/>
                <w:tab w:val="left" w:pos="5760"/>
              </w:tabs>
              <w:jc w:val="left"/>
              <w:rPr>
                <w:bCs/>
                <w:szCs w:val="24"/>
              </w:rPr>
            </w:pPr>
            <w:r w:rsidRPr="004D5DA3">
              <w:rPr>
                <w:bCs/>
                <w:szCs w:val="24"/>
              </w:rPr>
              <w:t>For EP#12 - Hazard Analysis report per area</w:t>
            </w:r>
          </w:p>
        </w:tc>
        <w:tc>
          <w:tcPr>
            <w:tcW w:w="1135" w:type="dxa"/>
            <w:vAlign w:val="center"/>
          </w:tcPr>
          <w:p w:rsidR="00626F0A" w:rsidRPr="007C094D" w:rsidRDefault="004D5DA3" w:rsidP="00502D22">
            <w:pPr>
              <w:tabs>
                <w:tab w:val="left" w:pos="1134"/>
                <w:tab w:val="left" w:pos="5760"/>
              </w:tabs>
              <w:jc w:val="left"/>
              <w:rPr>
                <w:bCs/>
                <w:szCs w:val="24"/>
                <w:lang w:val="en-US"/>
              </w:rPr>
            </w:pPr>
            <w:r>
              <w:rPr>
                <w:bCs/>
                <w:szCs w:val="24"/>
                <w:lang w:val="en-US"/>
              </w:rPr>
              <w:t>T1</w:t>
            </w:r>
            <w:r w:rsidR="00D2177B">
              <w:rPr>
                <w:bCs/>
                <w:szCs w:val="24"/>
                <w:lang w:val="en-US"/>
              </w:rPr>
              <w:t>*+</w:t>
            </w:r>
            <w:r>
              <w:rPr>
                <w:bCs/>
                <w:szCs w:val="24"/>
                <w:lang w:val="en-US"/>
              </w:rPr>
              <w:t>2</w:t>
            </w:r>
            <w:r w:rsidR="00626F0A" w:rsidRPr="007C094D">
              <w:rPr>
                <w:bCs/>
                <w:szCs w:val="24"/>
                <w:lang w:val="en-US"/>
              </w:rPr>
              <w:t xml:space="preserve"> month</w:t>
            </w:r>
            <w:r w:rsidR="00626F0A">
              <w:rPr>
                <w:bCs/>
                <w:szCs w:val="24"/>
                <w:lang w:val="en-US"/>
              </w:rPr>
              <w:t>s</w:t>
            </w:r>
          </w:p>
        </w:tc>
        <w:tc>
          <w:tcPr>
            <w:tcW w:w="1337" w:type="dxa"/>
            <w:vAlign w:val="center"/>
          </w:tcPr>
          <w:p w:rsidR="00626F0A" w:rsidRPr="007C094D" w:rsidRDefault="00626F0A" w:rsidP="004D5DA3">
            <w:pPr>
              <w:tabs>
                <w:tab w:val="left" w:pos="1134"/>
                <w:tab w:val="left" w:pos="5760"/>
              </w:tabs>
              <w:jc w:val="right"/>
              <w:rPr>
                <w:b/>
                <w:bCs/>
                <w:szCs w:val="24"/>
                <w:lang w:val="en-US"/>
              </w:rPr>
            </w:pPr>
          </w:p>
        </w:tc>
      </w:tr>
      <w:tr w:rsidR="00626F0A" w:rsidRPr="007C094D" w:rsidTr="00E236DA">
        <w:trPr>
          <w:tblHeader/>
        </w:trPr>
        <w:tc>
          <w:tcPr>
            <w:tcW w:w="959" w:type="dxa"/>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w:t>
            </w:r>
            <w:r w:rsidR="004D5DA3">
              <w:rPr>
                <w:bCs/>
                <w:szCs w:val="24"/>
                <w:lang w:val="en-US"/>
              </w:rPr>
              <w:t>12-</w:t>
            </w:r>
            <w:r w:rsidRPr="007C094D">
              <w:rPr>
                <w:bCs/>
                <w:szCs w:val="24"/>
                <w:lang w:val="en-US"/>
              </w:rPr>
              <w:t>2</w:t>
            </w:r>
          </w:p>
        </w:tc>
        <w:tc>
          <w:tcPr>
            <w:tcW w:w="5811" w:type="dxa"/>
            <w:vAlign w:val="center"/>
          </w:tcPr>
          <w:p w:rsidR="00626F0A" w:rsidRPr="004D5DA3" w:rsidRDefault="004D5DA3" w:rsidP="004D5DA3">
            <w:pPr>
              <w:tabs>
                <w:tab w:val="left" w:pos="1134"/>
                <w:tab w:val="left" w:pos="5760"/>
              </w:tabs>
              <w:jc w:val="left"/>
              <w:rPr>
                <w:bCs/>
                <w:szCs w:val="24"/>
              </w:rPr>
            </w:pPr>
            <w:r w:rsidRPr="004D5DA3">
              <w:rPr>
                <w:bCs/>
                <w:szCs w:val="24"/>
              </w:rPr>
              <w:t>For EP#12 - Perform macrosc</w:t>
            </w:r>
            <w:r>
              <w:rPr>
                <w:bCs/>
                <w:szCs w:val="24"/>
              </w:rPr>
              <w:t xml:space="preserve">opic study of the selected port </w:t>
            </w:r>
            <w:r w:rsidRPr="004D5DA3">
              <w:rPr>
                <w:bCs/>
                <w:szCs w:val="24"/>
              </w:rPr>
              <w:t>cell areas in order to h</w:t>
            </w:r>
            <w:r>
              <w:rPr>
                <w:bCs/>
                <w:szCs w:val="24"/>
              </w:rPr>
              <w:t xml:space="preserve">ave the overview of maintenance </w:t>
            </w:r>
            <w:r w:rsidRPr="004D5DA3">
              <w:rPr>
                <w:bCs/>
                <w:szCs w:val="24"/>
              </w:rPr>
              <w:t xml:space="preserve">operations in terms of </w:t>
            </w:r>
            <w:r>
              <w:rPr>
                <w:bCs/>
                <w:szCs w:val="24"/>
              </w:rPr>
              <w:t xml:space="preserve">accessibility, physical working </w:t>
            </w:r>
            <w:r w:rsidRPr="004D5DA3">
              <w:rPr>
                <w:bCs/>
                <w:szCs w:val="24"/>
              </w:rPr>
              <w:t>conditions, radiation/contamination zoning, etc.</w:t>
            </w:r>
          </w:p>
        </w:tc>
        <w:tc>
          <w:tcPr>
            <w:tcW w:w="1135" w:type="dxa"/>
            <w:vAlign w:val="center"/>
          </w:tcPr>
          <w:p w:rsidR="00626F0A" w:rsidRPr="007C094D" w:rsidRDefault="004D5DA3" w:rsidP="00502D22">
            <w:pPr>
              <w:tabs>
                <w:tab w:val="left" w:pos="1134"/>
                <w:tab w:val="left" w:pos="5760"/>
              </w:tabs>
              <w:jc w:val="left"/>
              <w:rPr>
                <w:bCs/>
                <w:szCs w:val="24"/>
                <w:lang w:val="en-US"/>
              </w:rPr>
            </w:pPr>
            <w:r>
              <w:rPr>
                <w:bCs/>
                <w:szCs w:val="24"/>
                <w:lang w:val="en-US"/>
              </w:rPr>
              <w:t>T1+3</w:t>
            </w:r>
            <w:r w:rsidR="00626F0A" w:rsidRPr="007C094D">
              <w:rPr>
                <w:bCs/>
                <w:szCs w:val="24"/>
                <w:lang w:val="en-US"/>
              </w:rPr>
              <w:t xml:space="preserve"> months</w:t>
            </w:r>
          </w:p>
        </w:tc>
        <w:tc>
          <w:tcPr>
            <w:tcW w:w="1337" w:type="dxa"/>
            <w:vAlign w:val="center"/>
          </w:tcPr>
          <w:p w:rsidR="00626F0A" w:rsidRPr="007C094D" w:rsidRDefault="00626F0A" w:rsidP="004D5DA3">
            <w:pPr>
              <w:tabs>
                <w:tab w:val="left" w:pos="1134"/>
                <w:tab w:val="left" w:pos="5760"/>
              </w:tabs>
              <w:jc w:val="right"/>
              <w:rPr>
                <w:b/>
                <w:bCs/>
                <w:szCs w:val="24"/>
                <w:lang w:val="en-US"/>
              </w:rPr>
            </w:pPr>
          </w:p>
        </w:tc>
      </w:tr>
      <w:tr w:rsidR="00626F0A" w:rsidRPr="007C094D" w:rsidTr="00E236DA">
        <w:trPr>
          <w:tblHeader/>
        </w:trPr>
        <w:tc>
          <w:tcPr>
            <w:tcW w:w="959" w:type="dxa"/>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w:t>
            </w:r>
            <w:r w:rsidR="004D5DA3">
              <w:rPr>
                <w:bCs/>
                <w:szCs w:val="24"/>
                <w:lang w:val="en-US"/>
              </w:rPr>
              <w:t>12-</w:t>
            </w:r>
            <w:r w:rsidRPr="007C094D">
              <w:rPr>
                <w:bCs/>
                <w:szCs w:val="24"/>
                <w:lang w:val="en-US"/>
              </w:rPr>
              <w:t>3</w:t>
            </w:r>
          </w:p>
        </w:tc>
        <w:tc>
          <w:tcPr>
            <w:tcW w:w="5811" w:type="dxa"/>
            <w:vAlign w:val="center"/>
          </w:tcPr>
          <w:p w:rsidR="00626F0A" w:rsidRPr="00D2177B" w:rsidRDefault="004D5DA3" w:rsidP="004D5DA3">
            <w:pPr>
              <w:tabs>
                <w:tab w:val="left" w:pos="1134"/>
                <w:tab w:val="left" w:pos="5760"/>
              </w:tabs>
              <w:jc w:val="left"/>
              <w:rPr>
                <w:bCs/>
                <w:szCs w:val="24"/>
              </w:rPr>
            </w:pPr>
            <w:r w:rsidRPr="004D5DA3">
              <w:rPr>
                <w:bCs/>
                <w:szCs w:val="24"/>
              </w:rPr>
              <w:t>For EP#12 - Perform microsc</w:t>
            </w:r>
            <w:r>
              <w:rPr>
                <w:bCs/>
                <w:szCs w:val="24"/>
              </w:rPr>
              <w:t xml:space="preserve">opic study in order to identify and </w:t>
            </w:r>
            <w:proofErr w:type="spellStart"/>
            <w:r w:rsidRPr="004D5DA3">
              <w:rPr>
                <w:bCs/>
                <w:szCs w:val="24"/>
              </w:rPr>
              <w:t>an</w:t>
            </w:r>
            <w:r>
              <w:rPr>
                <w:bCs/>
                <w:szCs w:val="24"/>
              </w:rPr>
              <w:t>alyze</w:t>
            </w:r>
            <w:proofErr w:type="spellEnd"/>
            <w:r>
              <w:rPr>
                <w:bCs/>
                <w:szCs w:val="24"/>
              </w:rPr>
              <w:t xml:space="preserve"> the unsafe operations for human and machine </w:t>
            </w:r>
            <w:r w:rsidRPr="004D5DA3">
              <w:rPr>
                <w:bCs/>
                <w:szCs w:val="24"/>
              </w:rPr>
              <w:t>safety, and offer sugges</w:t>
            </w:r>
            <w:r>
              <w:rPr>
                <w:bCs/>
                <w:szCs w:val="24"/>
              </w:rPr>
              <w:t xml:space="preserve">tions for possible improvements </w:t>
            </w:r>
            <w:r w:rsidRPr="004D5DA3">
              <w:rPr>
                <w:bCs/>
                <w:szCs w:val="24"/>
              </w:rPr>
              <w:t>(design of working situation)</w:t>
            </w:r>
          </w:p>
        </w:tc>
        <w:tc>
          <w:tcPr>
            <w:tcW w:w="1135" w:type="dxa"/>
            <w:vAlign w:val="center"/>
          </w:tcPr>
          <w:p w:rsidR="00626F0A" w:rsidRPr="007C094D" w:rsidRDefault="004D5DA3" w:rsidP="00502D22">
            <w:pPr>
              <w:tabs>
                <w:tab w:val="left" w:pos="1134"/>
                <w:tab w:val="left" w:pos="5760"/>
              </w:tabs>
              <w:jc w:val="left"/>
              <w:rPr>
                <w:bCs/>
                <w:szCs w:val="24"/>
                <w:lang w:val="en-US"/>
              </w:rPr>
            </w:pPr>
            <w:r>
              <w:rPr>
                <w:bCs/>
                <w:szCs w:val="24"/>
                <w:lang w:val="en-US"/>
              </w:rPr>
              <w:t>T1+4</w:t>
            </w:r>
            <w:r w:rsidR="00626F0A" w:rsidRPr="007C094D">
              <w:rPr>
                <w:bCs/>
                <w:szCs w:val="24"/>
                <w:lang w:val="en-US"/>
              </w:rPr>
              <w:t xml:space="preserve"> months</w:t>
            </w:r>
          </w:p>
        </w:tc>
        <w:tc>
          <w:tcPr>
            <w:tcW w:w="1337" w:type="dxa"/>
            <w:vAlign w:val="center"/>
          </w:tcPr>
          <w:p w:rsidR="00626F0A" w:rsidRPr="007C094D" w:rsidRDefault="00626F0A" w:rsidP="004D5DA3">
            <w:pPr>
              <w:tabs>
                <w:tab w:val="left" w:pos="1134"/>
                <w:tab w:val="left" w:pos="5760"/>
              </w:tabs>
              <w:jc w:val="right"/>
              <w:rPr>
                <w:b/>
                <w:bCs/>
                <w:szCs w:val="24"/>
                <w:lang w:val="en-US"/>
              </w:rPr>
            </w:pPr>
          </w:p>
        </w:tc>
      </w:tr>
      <w:tr w:rsidR="00626F0A" w:rsidRPr="007C094D" w:rsidTr="00E236DA">
        <w:trPr>
          <w:tblHeader/>
        </w:trPr>
        <w:tc>
          <w:tcPr>
            <w:tcW w:w="959" w:type="dxa"/>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w:t>
            </w:r>
            <w:r w:rsidR="004D5DA3">
              <w:rPr>
                <w:bCs/>
                <w:szCs w:val="24"/>
                <w:lang w:val="en-US"/>
              </w:rPr>
              <w:t>12-4</w:t>
            </w:r>
          </w:p>
        </w:tc>
        <w:tc>
          <w:tcPr>
            <w:tcW w:w="5811" w:type="dxa"/>
            <w:vAlign w:val="center"/>
          </w:tcPr>
          <w:p w:rsidR="00626F0A" w:rsidRPr="007C094D" w:rsidRDefault="004D5DA3" w:rsidP="00D2177B">
            <w:pPr>
              <w:tabs>
                <w:tab w:val="left" w:pos="1134"/>
                <w:tab w:val="left" w:pos="5760"/>
              </w:tabs>
              <w:jc w:val="left"/>
              <w:rPr>
                <w:bCs/>
                <w:szCs w:val="24"/>
                <w:lang w:val="en-US"/>
              </w:rPr>
            </w:pPr>
            <w:r w:rsidRPr="004D5DA3">
              <w:rPr>
                <w:bCs/>
                <w:szCs w:val="24"/>
                <w:lang w:val="en-US"/>
              </w:rPr>
              <w:t xml:space="preserve">For EP#12 - </w:t>
            </w:r>
            <w:proofErr w:type="spellStart"/>
            <w:r w:rsidRPr="004D5DA3">
              <w:rPr>
                <w:bCs/>
                <w:szCs w:val="24"/>
                <w:lang w:val="en-US"/>
              </w:rPr>
              <w:t>HoF</w:t>
            </w:r>
            <w:proofErr w:type="spellEnd"/>
            <w:r w:rsidRPr="004D5DA3">
              <w:rPr>
                <w:bCs/>
                <w:szCs w:val="24"/>
                <w:lang w:val="en-US"/>
              </w:rPr>
              <w:t xml:space="preserve"> Report</w:t>
            </w:r>
          </w:p>
        </w:tc>
        <w:tc>
          <w:tcPr>
            <w:tcW w:w="1135" w:type="dxa"/>
            <w:vAlign w:val="center"/>
          </w:tcPr>
          <w:p w:rsidR="00626F0A" w:rsidRPr="007C094D" w:rsidRDefault="004D5DA3" w:rsidP="00502D22">
            <w:pPr>
              <w:tabs>
                <w:tab w:val="left" w:pos="1134"/>
                <w:tab w:val="left" w:pos="5760"/>
              </w:tabs>
              <w:jc w:val="left"/>
              <w:rPr>
                <w:bCs/>
                <w:szCs w:val="24"/>
                <w:lang w:val="en-US"/>
              </w:rPr>
            </w:pPr>
            <w:r>
              <w:rPr>
                <w:bCs/>
                <w:szCs w:val="24"/>
                <w:lang w:val="en-US"/>
              </w:rPr>
              <w:t>T1+5</w:t>
            </w:r>
            <w:r w:rsidR="00D2177B">
              <w:rPr>
                <w:bCs/>
                <w:szCs w:val="24"/>
                <w:lang w:val="en-US"/>
              </w:rPr>
              <w:t xml:space="preserve"> </w:t>
            </w:r>
            <w:r w:rsidR="00626F0A" w:rsidRPr="007C094D">
              <w:rPr>
                <w:bCs/>
                <w:szCs w:val="24"/>
                <w:lang w:val="en-US"/>
              </w:rPr>
              <w:t>months</w:t>
            </w:r>
          </w:p>
        </w:tc>
        <w:tc>
          <w:tcPr>
            <w:tcW w:w="1337" w:type="dxa"/>
            <w:vAlign w:val="center"/>
          </w:tcPr>
          <w:p w:rsidR="00626F0A" w:rsidRPr="007C094D" w:rsidRDefault="00626F0A" w:rsidP="004D5DA3">
            <w:pPr>
              <w:tabs>
                <w:tab w:val="left" w:pos="1134"/>
                <w:tab w:val="left" w:pos="5760"/>
              </w:tabs>
              <w:jc w:val="right"/>
              <w:rPr>
                <w:b/>
                <w:bCs/>
                <w:szCs w:val="24"/>
                <w:lang w:val="en-US"/>
              </w:rPr>
            </w:pPr>
          </w:p>
        </w:tc>
      </w:tr>
      <w:tr w:rsidR="00D2177B" w:rsidRPr="007C094D" w:rsidTr="00E236DA">
        <w:trPr>
          <w:tblHeader/>
        </w:trPr>
        <w:tc>
          <w:tcPr>
            <w:tcW w:w="959" w:type="dxa"/>
            <w:vAlign w:val="center"/>
          </w:tcPr>
          <w:p w:rsidR="00D2177B" w:rsidRPr="007C094D" w:rsidRDefault="004D5DA3" w:rsidP="00502D22">
            <w:pPr>
              <w:tabs>
                <w:tab w:val="left" w:pos="1134"/>
                <w:tab w:val="left" w:pos="5760"/>
              </w:tabs>
              <w:jc w:val="left"/>
              <w:rPr>
                <w:bCs/>
                <w:szCs w:val="24"/>
                <w:lang w:val="en-US"/>
              </w:rPr>
            </w:pPr>
            <w:r>
              <w:rPr>
                <w:bCs/>
                <w:szCs w:val="24"/>
                <w:lang w:val="en-US"/>
              </w:rPr>
              <w:t>D11-1</w:t>
            </w:r>
          </w:p>
        </w:tc>
        <w:tc>
          <w:tcPr>
            <w:tcW w:w="5811" w:type="dxa"/>
            <w:vAlign w:val="center"/>
          </w:tcPr>
          <w:p w:rsidR="00D2177B" w:rsidRPr="00D2177B" w:rsidRDefault="004D5DA3" w:rsidP="00D2177B">
            <w:pPr>
              <w:tabs>
                <w:tab w:val="left" w:pos="1134"/>
                <w:tab w:val="left" w:pos="5760"/>
              </w:tabs>
              <w:jc w:val="left"/>
              <w:rPr>
                <w:bCs/>
                <w:szCs w:val="24"/>
              </w:rPr>
            </w:pPr>
            <w:r w:rsidRPr="004D5DA3">
              <w:rPr>
                <w:bCs/>
                <w:szCs w:val="24"/>
              </w:rPr>
              <w:t>For EP#11 - Hazard Analysis report per area.</w:t>
            </w:r>
          </w:p>
        </w:tc>
        <w:tc>
          <w:tcPr>
            <w:tcW w:w="1135" w:type="dxa"/>
            <w:vAlign w:val="center"/>
          </w:tcPr>
          <w:p w:rsidR="00D2177B" w:rsidRDefault="004D5DA3" w:rsidP="00502D22">
            <w:pPr>
              <w:tabs>
                <w:tab w:val="left" w:pos="1134"/>
                <w:tab w:val="left" w:pos="5760"/>
              </w:tabs>
              <w:jc w:val="left"/>
              <w:rPr>
                <w:bCs/>
                <w:szCs w:val="24"/>
                <w:lang w:val="en-US"/>
              </w:rPr>
            </w:pPr>
            <w:r>
              <w:rPr>
                <w:bCs/>
                <w:szCs w:val="24"/>
                <w:lang w:val="en-US"/>
              </w:rPr>
              <w:t>T1+6</w:t>
            </w:r>
            <w:r w:rsidR="00D2177B">
              <w:rPr>
                <w:bCs/>
                <w:szCs w:val="24"/>
                <w:lang w:val="en-US"/>
              </w:rPr>
              <w:t xml:space="preserve"> months</w:t>
            </w:r>
          </w:p>
        </w:tc>
        <w:tc>
          <w:tcPr>
            <w:tcW w:w="1337" w:type="dxa"/>
            <w:vAlign w:val="center"/>
          </w:tcPr>
          <w:p w:rsidR="00D2177B" w:rsidRPr="007C094D" w:rsidRDefault="00D2177B" w:rsidP="004D5DA3">
            <w:pPr>
              <w:tabs>
                <w:tab w:val="left" w:pos="1134"/>
                <w:tab w:val="left" w:pos="5760"/>
              </w:tabs>
              <w:jc w:val="right"/>
              <w:rPr>
                <w:b/>
                <w:bCs/>
                <w:szCs w:val="24"/>
                <w:lang w:val="en-US"/>
              </w:rPr>
            </w:pPr>
          </w:p>
        </w:tc>
      </w:tr>
      <w:tr w:rsidR="004D5DA3" w:rsidRPr="007C094D" w:rsidTr="00E236DA">
        <w:trPr>
          <w:tblHeader/>
        </w:trPr>
        <w:tc>
          <w:tcPr>
            <w:tcW w:w="959" w:type="dxa"/>
            <w:vAlign w:val="center"/>
          </w:tcPr>
          <w:p w:rsidR="004D5DA3" w:rsidRDefault="004D5DA3" w:rsidP="00502D22">
            <w:pPr>
              <w:tabs>
                <w:tab w:val="left" w:pos="1134"/>
                <w:tab w:val="left" w:pos="5760"/>
              </w:tabs>
              <w:jc w:val="left"/>
              <w:rPr>
                <w:bCs/>
                <w:szCs w:val="24"/>
                <w:lang w:val="en-US"/>
              </w:rPr>
            </w:pPr>
            <w:r>
              <w:rPr>
                <w:bCs/>
                <w:szCs w:val="24"/>
                <w:lang w:val="en-US"/>
              </w:rPr>
              <w:t>D11-2</w:t>
            </w:r>
          </w:p>
        </w:tc>
        <w:tc>
          <w:tcPr>
            <w:tcW w:w="5811" w:type="dxa"/>
            <w:vAlign w:val="center"/>
          </w:tcPr>
          <w:p w:rsidR="004D5DA3" w:rsidRPr="004D5DA3" w:rsidRDefault="004D5DA3" w:rsidP="004D5DA3">
            <w:pPr>
              <w:tabs>
                <w:tab w:val="left" w:pos="1134"/>
                <w:tab w:val="left" w:pos="5760"/>
              </w:tabs>
              <w:jc w:val="left"/>
              <w:rPr>
                <w:bCs/>
                <w:szCs w:val="24"/>
              </w:rPr>
            </w:pPr>
            <w:r w:rsidRPr="004D5DA3">
              <w:rPr>
                <w:bCs/>
                <w:szCs w:val="24"/>
              </w:rPr>
              <w:t>For EP#11 - Perform macrosc</w:t>
            </w:r>
            <w:r>
              <w:rPr>
                <w:bCs/>
                <w:szCs w:val="24"/>
              </w:rPr>
              <w:t xml:space="preserve">opic study of the selected port </w:t>
            </w:r>
            <w:r w:rsidRPr="004D5DA3">
              <w:rPr>
                <w:bCs/>
                <w:szCs w:val="24"/>
              </w:rPr>
              <w:t>cell areas i</w:t>
            </w:r>
            <w:r>
              <w:rPr>
                <w:bCs/>
                <w:szCs w:val="24"/>
              </w:rPr>
              <w:t xml:space="preserve">n order to have the overview of maintenance </w:t>
            </w:r>
            <w:r w:rsidRPr="004D5DA3">
              <w:rPr>
                <w:bCs/>
                <w:szCs w:val="24"/>
              </w:rPr>
              <w:t xml:space="preserve">operations in terms of </w:t>
            </w:r>
            <w:r>
              <w:rPr>
                <w:bCs/>
                <w:szCs w:val="24"/>
              </w:rPr>
              <w:t xml:space="preserve">accessibility, physical working </w:t>
            </w:r>
            <w:r w:rsidRPr="004D5DA3">
              <w:rPr>
                <w:bCs/>
                <w:szCs w:val="24"/>
              </w:rPr>
              <w:t>conditions, radiation/contamination zoning, etc.</w:t>
            </w:r>
          </w:p>
        </w:tc>
        <w:tc>
          <w:tcPr>
            <w:tcW w:w="1135" w:type="dxa"/>
            <w:vAlign w:val="center"/>
          </w:tcPr>
          <w:p w:rsidR="004D5DA3" w:rsidRDefault="004D5DA3" w:rsidP="00502D22">
            <w:pPr>
              <w:tabs>
                <w:tab w:val="left" w:pos="1134"/>
                <w:tab w:val="left" w:pos="5760"/>
              </w:tabs>
              <w:jc w:val="left"/>
              <w:rPr>
                <w:bCs/>
                <w:szCs w:val="24"/>
                <w:lang w:val="en-US"/>
              </w:rPr>
            </w:pPr>
            <w:r>
              <w:rPr>
                <w:bCs/>
                <w:szCs w:val="24"/>
                <w:lang w:val="en-US"/>
              </w:rPr>
              <w:t>T1+7 months</w:t>
            </w:r>
          </w:p>
        </w:tc>
        <w:tc>
          <w:tcPr>
            <w:tcW w:w="1337" w:type="dxa"/>
            <w:vAlign w:val="center"/>
          </w:tcPr>
          <w:p w:rsidR="004D5DA3" w:rsidRPr="007C094D" w:rsidRDefault="004D5DA3" w:rsidP="004D5DA3">
            <w:pPr>
              <w:tabs>
                <w:tab w:val="left" w:pos="1134"/>
                <w:tab w:val="left" w:pos="5760"/>
              </w:tabs>
              <w:jc w:val="right"/>
              <w:rPr>
                <w:b/>
                <w:bCs/>
                <w:szCs w:val="24"/>
                <w:lang w:val="en-US"/>
              </w:rPr>
            </w:pPr>
          </w:p>
        </w:tc>
      </w:tr>
      <w:tr w:rsidR="004D5DA3" w:rsidRPr="007C094D" w:rsidTr="00E236DA">
        <w:trPr>
          <w:tblHeader/>
        </w:trPr>
        <w:tc>
          <w:tcPr>
            <w:tcW w:w="959" w:type="dxa"/>
            <w:vAlign w:val="center"/>
          </w:tcPr>
          <w:p w:rsidR="004D5DA3" w:rsidRPr="007C094D" w:rsidRDefault="004D5DA3" w:rsidP="00EC2DDD">
            <w:pPr>
              <w:tabs>
                <w:tab w:val="left" w:pos="1134"/>
                <w:tab w:val="left" w:pos="5760"/>
              </w:tabs>
              <w:jc w:val="left"/>
              <w:rPr>
                <w:bCs/>
                <w:szCs w:val="24"/>
                <w:lang w:val="en-US"/>
              </w:rPr>
            </w:pPr>
            <w:r>
              <w:rPr>
                <w:bCs/>
                <w:szCs w:val="24"/>
                <w:lang w:val="en-US"/>
              </w:rPr>
              <w:t>D11-3</w:t>
            </w:r>
          </w:p>
        </w:tc>
        <w:tc>
          <w:tcPr>
            <w:tcW w:w="5811" w:type="dxa"/>
            <w:vAlign w:val="center"/>
          </w:tcPr>
          <w:p w:rsidR="004D5DA3" w:rsidRPr="004D5DA3" w:rsidRDefault="004D5DA3" w:rsidP="004D5DA3">
            <w:pPr>
              <w:tabs>
                <w:tab w:val="left" w:pos="1134"/>
                <w:tab w:val="left" w:pos="5760"/>
              </w:tabs>
              <w:jc w:val="left"/>
              <w:rPr>
                <w:bCs/>
                <w:szCs w:val="24"/>
              </w:rPr>
            </w:pPr>
            <w:r w:rsidRPr="004D5DA3">
              <w:rPr>
                <w:bCs/>
                <w:szCs w:val="24"/>
              </w:rPr>
              <w:t>For EP#11 - Perform microsc</w:t>
            </w:r>
            <w:r>
              <w:rPr>
                <w:bCs/>
                <w:szCs w:val="24"/>
              </w:rPr>
              <w:t xml:space="preserve">opic study in order to identify </w:t>
            </w:r>
            <w:r w:rsidRPr="004D5DA3">
              <w:rPr>
                <w:bCs/>
                <w:szCs w:val="24"/>
              </w:rPr>
              <w:t xml:space="preserve">and </w:t>
            </w:r>
            <w:proofErr w:type="spellStart"/>
            <w:r w:rsidRPr="004D5DA3">
              <w:rPr>
                <w:bCs/>
                <w:szCs w:val="24"/>
              </w:rPr>
              <w:t>analyze</w:t>
            </w:r>
            <w:proofErr w:type="spellEnd"/>
            <w:r w:rsidRPr="004D5DA3">
              <w:rPr>
                <w:bCs/>
                <w:szCs w:val="24"/>
              </w:rPr>
              <w:t xml:space="preserve"> the unsafe o</w:t>
            </w:r>
            <w:r>
              <w:rPr>
                <w:bCs/>
                <w:szCs w:val="24"/>
              </w:rPr>
              <w:t xml:space="preserve">perations for human and machine </w:t>
            </w:r>
            <w:r w:rsidRPr="004D5DA3">
              <w:rPr>
                <w:bCs/>
                <w:szCs w:val="24"/>
              </w:rPr>
              <w:t>safety, and offer sugges</w:t>
            </w:r>
            <w:r>
              <w:rPr>
                <w:bCs/>
                <w:szCs w:val="24"/>
              </w:rPr>
              <w:t xml:space="preserve">tions for possible improvements </w:t>
            </w:r>
            <w:r w:rsidRPr="004D5DA3">
              <w:rPr>
                <w:bCs/>
                <w:szCs w:val="24"/>
              </w:rPr>
              <w:t>(design of working situation)</w:t>
            </w:r>
          </w:p>
        </w:tc>
        <w:tc>
          <w:tcPr>
            <w:tcW w:w="1135" w:type="dxa"/>
            <w:vAlign w:val="center"/>
          </w:tcPr>
          <w:p w:rsidR="004D5DA3" w:rsidRPr="007C094D" w:rsidRDefault="004D5DA3" w:rsidP="00EC2DDD">
            <w:pPr>
              <w:tabs>
                <w:tab w:val="left" w:pos="1134"/>
                <w:tab w:val="left" w:pos="5760"/>
              </w:tabs>
              <w:jc w:val="left"/>
              <w:rPr>
                <w:bCs/>
                <w:szCs w:val="24"/>
                <w:lang w:val="en-US"/>
              </w:rPr>
            </w:pPr>
            <w:r>
              <w:rPr>
                <w:bCs/>
                <w:szCs w:val="24"/>
                <w:lang w:val="en-US"/>
              </w:rPr>
              <w:t xml:space="preserve">T1+8 </w:t>
            </w:r>
            <w:r w:rsidRPr="007C094D">
              <w:rPr>
                <w:bCs/>
                <w:szCs w:val="24"/>
                <w:lang w:val="en-US"/>
              </w:rPr>
              <w:t>months</w:t>
            </w:r>
          </w:p>
        </w:tc>
        <w:tc>
          <w:tcPr>
            <w:tcW w:w="1337" w:type="dxa"/>
            <w:vAlign w:val="center"/>
          </w:tcPr>
          <w:p w:rsidR="004D5DA3" w:rsidRPr="007C094D" w:rsidRDefault="004D5DA3" w:rsidP="004D5DA3">
            <w:pPr>
              <w:tabs>
                <w:tab w:val="left" w:pos="1134"/>
                <w:tab w:val="left" w:pos="5760"/>
              </w:tabs>
              <w:jc w:val="right"/>
              <w:rPr>
                <w:b/>
                <w:bCs/>
                <w:szCs w:val="24"/>
                <w:lang w:val="en-US"/>
              </w:rPr>
            </w:pPr>
          </w:p>
        </w:tc>
      </w:tr>
      <w:tr w:rsidR="004D5DA3" w:rsidRPr="007C094D" w:rsidTr="00E236DA">
        <w:trPr>
          <w:tblHeader/>
        </w:trPr>
        <w:tc>
          <w:tcPr>
            <w:tcW w:w="959" w:type="dxa"/>
            <w:vAlign w:val="center"/>
          </w:tcPr>
          <w:p w:rsidR="004D5DA3" w:rsidRPr="007C094D" w:rsidRDefault="004D5DA3" w:rsidP="00EC2DDD">
            <w:pPr>
              <w:tabs>
                <w:tab w:val="left" w:pos="1134"/>
                <w:tab w:val="left" w:pos="5760"/>
              </w:tabs>
              <w:jc w:val="left"/>
              <w:rPr>
                <w:bCs/>
                <w:szCs w:val="24"/>
                <w:lang w:val="en-US"/>
              </w:rPr>
            </w:pPr>
            <w:r>
              <w:rPr>
                <w:bCs/>
                <w:szCs w:val="24"/>
                <w:lang w:val="en-US"/>
              </w:rPr>
              <w:t>D11-4</w:t>
            </w:r>
          </w:p>
        </w:tc>
        <w:tc>
          <w:tcPr>
            <w:tcW w:w="5811" w:type="dxa"/>
            <w:vAlign w:val="center"/>
          </w:tcPr>
          <w:p w:rsidR="004D5DA3" w:rsidRPr="00D2177B" w:rsidRDefault="004D5DA3" w:rsidP="00EC2DDD">
            <w:pPr>
              <w:tabs>
                <w:tab w:val="left" w:pos="1134"/>
                <w:tab w:val="left" w:pos="5760"/>
              </w:tabs>
              <w:jc w:val="left"/>
              <w:rPr>
                <w:bCs/>
                <w:szCs w:val="24"/>
              </w:rPr>
            </w:pPr>
            <w:r w:rsidRPr="004D5DA3">
              <w:rPr>
                <w:bCs/>
                <w:szCs w:val="24"/>
              </w:rPr>
              <w:t>For EP#11 - HOF Report</w:t>
            </w:r>
          </w:p>
        </w:tc>
        <w:tc>
          <w:tcPr>
            <w:tcW w:w="1135" w:type="dxa"/>
            <w:vAlign w:val="center"/>
          </w:tcPr>
          <w:p w:rsidR="004D5DA3" w:rsidRDefault="004D5DA3" w:rsidP="00EC2DDD">
            <w:pPr>
              <w:tabs>
                <w:tab w:val="left" w:pos="1134"/>
                <w:tab w:val="left" w:pos="5760"/>
              </w:tabs>
              <w:jc w:val="left"/>
              <w:rPr>
                <w:bCs/>
                <w:szCs w:val="24"/>
                <w:lang w:val="en-US"/>
              </w:rPr>
            </w:pPr>
            <w:r>
              <w:rPr>
                <w:bCs/>
                <w:szCs w:val="24"/>
                <w:lang w:val="en-US"/>
              </w:rPr>
              <w:t>T1+9 months</w:t>
            </w:r>
          </w:p>
        </w:tc>
        <w:tc>
          <w:tcPr>
            <w:tcW w:w="1337" w:type="dxa"/>
            <w:vAlign w:val="center"/>
          </w:tcPr>
          <w:p w:rsidR="004D5DA3" w:rsidRPr="007C094D" w:rsidRDefault="004D5DA3" w:rsidP="004D5DA3">
            <w:pPr>
              <w:tabs>
                <w:tab w:val="left" w:pos="1134"/>
                <w:tab w:val="left" w:pos="5760"/>
              </w:tabs>
              <w:jc w:val="right"/>
              <w:rPr>
                <w:b/>
                <w:bCs/>
                <w:szCs w:val="24"/>
                <w:lang w:val="en-US"/>
              </w:rPr>
            </w:pPr>
          </w:p>
        </w:tc>
      </w:tr>
      <w:tr w:rsidR="004D5DA3" w:rsidRPr="007C094D" w:rsidTr="00E236DA">
        <w:trPr>
          <w:tblHeader/>
        </w:trPr>
        <w:tc>
          <w:tcPr>
            <w:tcW w:w="959" w:type="dxa"/>
            <w:vAlign w:val="center"/>
          </w:tcPr>
          <w:p w:rsidR="004D5DA3" w:rsidRDefault="004D5DA3" w:rsidP="00EC2DDD">
            <w:pPr>
              <w:tabs>
                <w:tab w:val="left" w:pos="1134"/>
                <w:tab w:val="left" w:pos="5760"/>
              </w:tabs>
              <w:jc w:val="left"/>
              <w:rPr>
                <w:bCs/>
                <w:szCs w:val="24"/>
                <w:lang w:val="en-US"/>
              </w:rPr>
            </w:pPr>
            <w:r>
              <w:rPr>
                <w:bCs/>
                <w:szCs w:val="24"/>
                <w:lang w:val="en-US"/>
              </w:rPr>
              <w:t>D12-5</w:t>
            </w:r>
          </w:p>
        </w:tc>
        <w:tc>
          <w:tcPr>
            <w:tcW w:w="5811" w:type="dxa"/>
            <w:vAlign w:val="center"/>
          </w:tcPr>
          <w:p w:rsidR="004D5DA3" w:rsidRDefault="004D5DA3" w:rsidP="00EC2DDD">
            <w:pPr>
              <w:tabs>
                <w:tab w:val="left" w:pos="1134"/>
                <w:tab w:val="left" w:pos="5760"/>
              </w:tabs>
              <w:jc w:val="left"/>
              <w:rPr>
                <w:bCs/>
                <w:szCs w:val="24"/>
              </w:rPr>
            </w:pPr>
            <w:r w:rsidRPr="004D5DA3">
              <w:rPr>
                <w:bCs/>
                <w:szCs w:val="24"/>
              </w:rPr>
              <w:t>For EP#12 - Update of HOF and Hazard Analysis report</w:t>
            </w:r>
          </w:p>
        </w:tc>
        <w:tc>
          <w:tcPr>
            <w:tcW w:w="1135" w:type="dxa"/>
            <w:vAlign w:val="center"/>
          </w:tcPr>
          <w:p w:rsidR="004D5DA3" w:rsidRDefault="004D5DA3" w:rsidP="00EC2DDD">
            <w:pPr>
              <w:tabs>
                <w:tab w:val="left" w:pos="1134"/>
                <w:tab w:val="left" w:pos="5760"/>
              </w:tabs>
              <w:jc w:val="left"/>
              <w:rPr>
                <w:bCs/>
                <w:szCs w:val="24"/>
                <w:lang w:val="en-US"/>
              </w:rPr>
            </w:pPr>
            <w:r>
              <w:rPr>
                <w:bCs/>
                <w:szCs w:val="24"/>
                <w:lang w:val="en-US"/>
              </w:rPr>
              <w:t>T1+10 months</w:t>
            </w:r>
          </w:p>
        </w:tc>
        <w:tc>
          <w:tcPr>
            <w:tcW w:w="1337" w:type="dxa"/>
            <w:vAlign w:val="center"/>
          </w:tcPr>
          <w:p w:rsidR="004D5DA3" w:rsidRPr="007C094D" w:rsidRDefault="004D5DA3" w:rsidP="004D5DA3">
            <w:pPr>
              <w:tabs>
                <w:tab w:val="left" w:pos="1134"/>
                <w:tab w:val="left" w:pos="5760"/>
              </w:tabs>
              <w:jc w:val="right"/>
              <w:rPr>
                <w:b/>
                <w:bCs/>
                <w:szCs w:val="24"/>
                <w:lang w:val="en-US"/>
              </w:rPr>
            </w:pPr>
          </w:p>
        </w:tc>
      </w:tr>
      <w:tr w:rsidR="004D5DA3" w:rsidRPr="007C094D" w:rsidTr="00E236DA">
        <w:trPr>
          <w:tblHeader/>
        </w:trPr>
        <w:tc>
          <w:tcPr>
            <w:tcW w:w="959" w:type="dxa"/>
            <w:vAlign w:val="center"/>
          </w:tcPr>
          <w:p w:rsidR="004D5DA3" w:rsidRDefault="004D5DA3" w:rsidP="00EC2DDD">
            <w:pPr>
              <w:tabs>
                <w:tab w:val="left" w:pos="1134"/>
                <w:tab w:val="left" w:pos="5760"/>
              </w:tabs>
              <w:jc w:val="left"/>
              <w:rPr>
                <w:bCs/>
                <w:szCs w:val="24"/>
                <w:lang w:val="en-US"/>
              </w:rPr>
            </w:pPr>
            <w:r>
              <w:rPr>
                <w:bCs/>
                <w:szCs w:val="24"/>
                <w:lang w:val="en-US"/>
              </w:rPr>
              <w:t>D11-5</w:t>
            </w:r>
          </w:p>
        </w:tc>
        <w:tc>
          <w:tcPr>
            <w:tcW w:w="5811" w:type="dxa"/>
            <w:vAlign w:val="center"/>
          </w:tcPr>
          <w:p w:rsidR="004D5DA3" w:rsidRDefault="004D5DA3" w:rsidP="00EC2DDD">
            <w:pPr>
              <w:tabs>
                <w:tab w:val="left" w:pos="1134"/>
                <w:tab w:val="left" w:pos="5760"/>
              </w:tabs>
              <w:jc w:val="left"/>
              <w:rPr>
                <w:bCs/>
                <w:szCs w:val="24"/>
              </w:rPr>
            </w:pPr>
            <w:r>
              <w:rPr>
                <w:bCs/>
                <w:szCs w:val="24"/>
              </w:rPr>
              <w:t xml:space="preserve">For EP#11- Update of HOF and </w:t>
            </w:r>
            <w:r w:rsidRPr="004D5DA3">
              <w:rPr>
                <w:bCs/>
                <w:szCs w:val="24"/>
              </w:rPr>
              <w:t>Hazard Analysis report</w:t>
            </w:r>
          </w:p>
        </w:tc>
        <w:tc>
          <w:tcPr>
            <w:tcW w:w="1135" w:type="dxa"/>
            <w:vAlign w:val="center"/>
          </w:tcPr>
          <w:p w:rsidR="004D5DA3" w:rsidRDefault="004D5DA3" w:rsidP="00EC2DDD">
            <w:pPr>
              <w:tabs>
                <w:tab w:val="left" w:pos="1134"/>
                <w:tab w:val="left" w:pos="5760"/>
              </w:tabs>
              <w:jc w:val="left"/>
              <w:rPr>
                <w:bCs/>
                <w:szCs w:val="24"/>
                <w:lang w:val="en-US"/>
              </w:rPr>
            </w:pPr>
            <w:r>
              <w:rPr>
                <w:bCs/>
                <w:szCs w:val="24"/>
                <w:lang w:val="en-US"/>
              </w:rPr>
              <w:t>T1+12 months</w:t>
            </w:r>
          </w:p>
        </w:tc>
        <w:tc>
          <w:tcPr>
            <w:tcW w:w="1337" w:type="dxa"/>
            <w:vAlign w:val="center"/>
          </w:tcPr>
          <w:p w:rsidR="004D5DA3" w:rsidRPr="007C094D" w:rsidRDefault="004D5DA3" w:rsidP="004D5DA3">
            <w:pPr>
              <w:tabs>
                <w:tab w:val="left" w:pos="1134"/>
                <w:tab w:val="left" w:pos="5760"/>
              </w:tabs>
              <w:jc w:val="right"/>
              <w:rPr>
                <w:b/>
                <w:bCs/>
                <w:szCs w:val="24"/>
                <w:lang w:val="en-US"/>
              </w:rPr>
            </w:pPr>
          </w:p>
        </w:tc>
      </w:tr>
      <w:tr w:rsidR="00626F0A" w:rsidRPr="007C094D" w:rsidTr="00E236DA">
        <w:trPr>
          <w:tblHeader/>
        </w:trPr>
        <w:tc>
          <w:tcPr>
            <w:tcW w:w="959" w:type="dxa"/>
            <w:vAlign w:val="center"/>
          </w:tcPr>
          <w:p w:rsidR="00626F0A" w:rsidRPr="007C094D" w:rsidRDefault="00626F0A" w:rsidP="00502D22">
            <w:pPr>
              <w:tabs>
                <w:tab w:val="left" w:pos="1134"/>
                <w:tab w:val="left" w:pos="5760"/>
              </w:tabs>
              <w:jc w:val="left"/>
              <w:rPr>
                <w:bCs/>
                <w:szCs w:val="24"/>
                <w:lang w:val="en-US"/>
              </w:rPr>
            </w:pPr>
          </w:p>
        </w:tc>
        <w:tc>
          <w:tcPr>
            <w:tcW w:w="6946" w:type="dxa"/>
            <w:gridSpan w:val="2"/>
            <w:vAlign w:val="center"/>
          </w:tcPr>
          <w:p w:rsidR="00626F0A" w:rsidRDefault="00626F0A" w:rsidP="00502D22">
            <w:pPr>
              <w:tabs>
                <w:tab w:val="left" w:pos="1134"/>
                <w:tab w:val="left" w:pos="5760"/>
              </w:tabs>
              <w:jc w:val="left"/>
              <w:rPr>
                <w:bCs/>
                <w:szCs w:val="24"/>
                <w:lang w:val="en-US"/>
              </w:rPr>
            </w:pPr>
            <w:r w:rsidRPr="007C094D">
              <w:rPr>
                <w:b/>
                <w:bCs/>
                <w:szCs w:val="24"/>
              </w:rPr>
              <w:t>TOTAL FIXED PRICE (EUR)</w:t>
            </w:r>
          </w:p>
        </w:tc>
        <w:tc>
          <w:tcPr>
            <w:tcW w:w="1337" w:type="dxa"/>
            <w:vAlign w:val="center"/>
          </w:tcPr>
          <w:p w:rsidR="00626F0A" w:rsidRPr="007C094D" w:rsidRDefault="00626F0A" w:rsidP="004D5DA3">
            <w:pPr>
              <w:tabs>
                <w:tab w:val="left" w:pos="1134"/>
                <w:tab w:val="left" w:pos="5760"/>
              </w:tabs>
              <w:jc w:val="right"/>
              <w:rPr>
                <w:b/>
                <w:bCs/>
                <w:szCs w:val="24"/>
                <w:lang w:val="en-US"/>
              </w:rPr>
            </w:pPr>
          </w:p>
        </w:tc>
      </w:tr>
    </w:tbl>
    <w:p w:rsidR="004D5DA3" w:rsidRDefault="00502D22" w:rsidP="00B0078A">
      <w:pPr>
        <w:spacing w:line="280" w:lineRule="exact"/>
        <w:rPr>
          <w:rFonts w:eastAsia="Calibri"/>
          <w:szCs w:val="24"/>
        </w:rPr>
      </w:pPr>
      <w:r>
        <w:rPr>
          <w:rFonts w:eastAsia="Calibri"/>
          <w:szCs w:val="24"/>
        </w:rPr>
        <w:t>*</w:t>
      </w:r>
      <w:r w:rsidR="004D5DA3">
        <w:rPr>
          <w:rFonts w:eastAsia="Calibri"/>
          <w:szCs w:val="24"/>
        </w:rPr>
        <w:t>T</w:t>
      </w:r>
      <w:r w:rsidR="004D5DA3" w:rsidRPr="004D5DA3">
        <w:rPr>
          <w:rFonts w:eastAsia="Calibri"/>
          <w:szCs w:val="24"/>
          <w:vertAlign w:val="subscript"/>
        </w:rPr>
        <w:t>0</w:t>
      </w:r>
      <w:r w:rsidR="004D5DA3">
        <w:rPr>
          <w:rFonts w:eastAsia="Calibri"/>
          <w:szCs w:val="24"/>
          <w:vertAlign w:val="subscript"/>
        </w:rPr>
        <w:t xml:space="preserve">= </w:t>
      </w:r>
      <w:r w:rsidR="004D5DA3" w:rsidRPr="004D5DA3">
        <w:rPr>
          <w:rFonts w:eastAsia="Calibri"/>
          <w:szCs w:val="24"/>
        </w:rPr>
        <w:t xml:space="preserve">Contract </w:t>
      </w:r>
      <w:r w:rsidR="004D5DA3">
        <w:rPr>
          <w:rFonts w:eastAsia="Calibri"/>
          <w:szCs w:val="24"/>
        </w:rPr>
        <w:t>Signature</w:t>
      </w:r>
    </w:p>
    <w:p w:rsidR="00B0078A" w:rsidRPr="00B0078A" w:rsidRDefault="00B0078A" w:rsidP="00B0078A">
      <w:pPr>
        <w:spacing w:line="280" w:lineRule="exact"/>
        <w:rPr>
          <w:rFonts w:eastAsia="Calibri"/>
          <w:szCs w:val="24"/>
        </w:rPr>
      </w:pPr>
      <w:r w:rsidRPr="00B0078A">
        <w:rPr>
          <w:rFonts w:eastAsia="Calibri"/>
          <w:szCs w:val="24"/>
        </w:rPr>
        <w:t>T</w:t>
      </w:r>
      <w:r w:rsidR="004D5DA3">
        <w:rPr>
          <w:rFonts w:eastAsia="Calibri"/>
          <w:szCs w:val="24"/>
          <w:vertAlign w:val="subscript"/>
        </w:rPr>
        <w:t>1</w:t>
      </w:r>
      <w:r w:rsidRPr="00B0078A">
        <w:rPr>
          <w:rFonts w:eastAsia="Calibri"/>
          <w:szCs w:val="24"/>
          <w:vertAlign w:val="subscript"/>
        </w:rPr>
        <w:t xml:space="preserve"> </w:t>
      </w:r>
      <w:r w:rsidRPr="00B0078A">
        <w:rPr>
          <w:rFonts w:eastAsia="Calibri"/>
          <w:szCs w:val="24"/>
        </w:rPr>
        <w:t xml:space="preserve">= </w:t>
      </w:r>
      <w:r w:rsidR="004D5DA3">
        <w:rPr>
          <w:rFonts w:eastAsia="Calibri"/>
          <w:szCs w:val="24"/>
          <w:lang w:val="en-US"/>
        </w:rPr>
        <w:t>Kick-O</w:t>
      </w:r>
      <w:r w:rsidR="00626F0A">
        <w:rPr>
          <w:rFonts w:eastAsia="Calibri"/>
          <w:szCs w:val="24"/>
          <w:lang w:val="en-US"/>
        </w:rPr>
        <w:t>ff meeting</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626F0A" w:rsidRDefault="00626F0A" w:rsidP="00B0078A">
      <w:pPr>
        <w:spacing w:before="120" w:after="120"/>
        <w:rPr>
          <w:szCs w:val="24"/>
        </w:rPr>
      </w:pPr>
    </w:p>
    <w:p w:rsidR="00626F0A" w:rsidRDefault="00626F0A" w:rsidP="00B0078A">
      <w:pPr>
        <w:spacing w:before="120" w:after="120"/>
        <w:rPr>
          <w:szCs w:val="24"/>
        </w:rPr>
      </w:pP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w:t>
      </w:r>
      <w:r w:rsidR="00E236DA">
        <w:rPr>
          <w:rFonts w:eastAsia="Times New Roman"/>
          <w:szCs w:val="24"/>
          <w:lang w:eastAsia="en-GB"/>
        </w:rPr>
        <w:t>n or expand on the table below.</w:t>
      </w:r>
    </w:p>
    <w:tbl>
      <w:tblPr>
        <w:tblStyle w:val="TableGrid11"/>
        <w:tblpPr w:leftFromText="180" w:rightFromText="180" w:vertAnchor="text" w:horzAnchor="margin" w:tblpXSpec="center" w:tblpY="355"/>
        <w:tblW w:w="5000" w:type="pct"/>
        <w:tblLook w:val="04A0" w:firstRow="1" w:lastRow="0" w:firstColumn="1" w:lastColumn="0" w:noHBand="0" w:noVBand="1"/>
      </w:tblPr>
      <w:tblGrid>
        <w:gridCol w:w="1101"/>
        <w:gridCol w:w="1543"/>
        <w:gridCol w:w="967"/>
        <w:gridCol w:w="967"/>
        <w:gridCol w:w="1257"/>
        <w:gridCol w:w="1257"/>
        <w:gridCol w:w="2150"/>
      </w:tblGrid>
      <w:tr w:rsidR="00364C06" w:rsidRPr="00B0078A" w:rsidTr="00E236DA">
        <w:trPr>
          <w:trHeight w:val="413"/>
        </w:trPr>
        <w:tc>
          <w:tcPr>
            <w:tcW w:w="596" w:type="pct"/>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835" w:type="pct"/>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52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2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680" w:type="pct"/>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680" w:type="pct"/>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1163" w:type="pct"/>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E236DA">
        <w:trPr>
          <w:trHeight w:val="272"/>
        </w:trPr>
        <w:tc>
          <w:tcPr>
            <w:tcW w:w="596" w:type="pct"/>
            <w:vMerge/>
          </w:tcPr>
          <w:p w:rsidR="00364C06" w:rsidRPr="00B0078A" w:rsidRDefault="00364C06" w:rsidP="00B0078A">
            <w:pPr>
              <w:spacing w:line="280" w:lineRule="exact"/>
              <w:jc w:val="center"/>
              <w:rPr>
                <w:rFonts w:eastAsia="Calibri" w:cstheme="minorBidi"/>
                <w:sz w:val="22"/>
                <w:szCs w:val="22"/>
                <w:lang w:val="en-US"/>
              </w:rPr>
            </w:pPr>
          </w:p>
        </w:tc>
        <w:tc>
          <w:tcPr>
            <w:tcW w:w="835" w:type="pct"/>
            <w:vMerge/>
          </w:tcPr>
          <w:p w:rsidR="00364C06" w:rsidRPr="00B0078A" w:rsidRDefault="00364C06" w:rsidP="00B0078A">
            <w:pPr>
              <w:spacing w:line="280" w:lineRule="exact"/>
              <w:jc w:val="center"/>
              <w:rPr>
                <w:rFonts w:eastAsia="Calibri" w:cstheme="minorBidi"/>
                <w:b/>
                <w:bCs/>
                <w:szCs w:val="24"/>
                <w:lang w:val="en-US"/>
              </w:rPr>
            </w:pPr>
          </w:p>
        </w:tc>
        <w:tc>
          <w:tcPr>
            <w:tcW w:w="52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52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680" w:type="pct"/>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680" w:type="pct"/>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1163" w:type="pct"/>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sidRPr="007C094D">
              <w:rPr>
                <w:bCs/>
                <w:szCs w:val="24"/>
                <w:lang w:val="en-US"/>
              </w:rPr>
              <w:t>D1</w:t>
            </w:r>
            <w:r>
              <w:rPr>
                <w:bCs/>
                <w:szCs w:val="24"/>
                <w:lang w:val="en-US"/>
              </w:rPr>
              <w:t>2-1</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sidRPr="007C094D">
              <w:rPr>
                <w:bCs/>
                <w:szCs w:val="24"/>
                <w:lang w:val="en-US"/>
              </w:rPr>
              <w:t>D</w:t>
            </w:r>
            <w:r>
              <w:rPr>
                <w:bCs/>
                <w:szCs w:val="24"/>
                <w:lang w:val="en-US"/>
              </w:rPr>
              <w:t>12-</w:t>
            </w:r>
            <w:r w:rsidRPr="007C094D">
              <w:rPr>
                <w:bCs/>
                <w:szCs w:val="24"/>
                <w:lang w:val="en-US"/>
              </w:rPr>
              <w:t>2</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sidRPr="007C094D">
              <w:rPr>
                <w:bCs/>
                <w:szCs w:val="24"/>
                <w:lang w:val="en-US"/>
              </w:rPr>
              <w:t>D</w:t>
            </w:r>
            <w:r>
              <w:rPr>
                <w:bCs/>
                <w:szCs w:val="24"/>
                <w:lang w:val="en-US"/>
              </w:rPr>
              <w:t>12-</w:t>
            </w:r>
            <w:r w:rsidRPr="007C094D">
              <w:rPr>
                <w:bCs/>
                <w:szCs w:val="24"/>
                <w:lang w:val="en-US"/>
              </w:rPr>
              <w:t>3</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sidRPr="007C094D">
              <w:rPr>
                <w:bCs/>
                <w:szCs w:val="24"/>
                <w:lang w:val="en-US"/>
              </w:rPr>
              <w:t>D</w:t>
            </w:r>
            <w:r>
              <w:rPr>
                <w:bCs/>
                <w:szCs w:val="24"/>
                <w:lang w:val="en-US"/>
              </w:rPr>
              <w:t>12-4</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Pr>
                <w:bCs/>
                <w:szCs w:val="24"/>
                <w:lang w:val="en-US"/>
              </w:rPr>
              <w:t>D11-1</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Default="00E236DA" w:rsidP="00EC2DDD">
            <w:pPr>
              <w:tabs>
                <w:tab w:val="left" w:pos="1134"/>
                <w:tab w:val="left" w:pos="5760"/>
              </w:tabs>
              <w:jc w:val="left"/>
              <w:rPr>
                <w:bCs/>
                <w:szCs w:val="24"/>
                <w:lang w:val="en-US"/>
              </w:rPr>
            </w:pPr>
            <w:r>
              <w:rPr>
                <w:bCs/>
                <w:szCs w:val="24"/>
                <w:lang w:val="en-US"/>
              </w:rPr>
              <w:t>D11-2</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Pr>
                <w:bCs/>
                <w:szCs w:val="24"/>
                <w:lang w:val="en-US"/>
              </w:rPr>
              <w:t>D11-3</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Pr="007C094D" w:rsidRDefault="00E236DA" w:rsidP="00EC2DDD">
            <w:pPr>
              <w:tabs>
                <w:tab w:val="left" w:pos="1134"/>
                <w:tab w:val="left" w:pos="5760"/>
              </w:tabs>
              <w:jc w:val="left"/>
              <w:rPr>
                <w:bCs/>
                <w:szCs w:val="24"/>
                <w:lang w:val="en-US"/>
              </w:rPr>
            </w:pPr>
            <w:r>
              <w:rPr>
                <w:bCs/>
                <w:szCs w:val="24"/>
                <w:lang w:val="en-US"/>
              </w:rPr>
              <w:t>D11-4</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Default="00E236DA" w:rsidP="00EC2DDD">
            <w:pPr>
              <w:tabs>
                <w:tab w:val="left" w:pos="1134"/>
                <w:tab w:val="left" w:pos="5760"/>
              </w:tabs>
              <w:jc w:val="left"/>
              <w:rPr>
                <w:bCs/>
                <w:szCs w:val="24"/>
                <w:lang w:val="en-US"/>
              </w:rPr>
            </w:pPr>
            <w:r>
              <w:rPr>
                <w:bCs/>
                <w:szCs w:val="24"/>
                <w:lang w:val="en-US"/>
              </w:rPr>
              <w:t>D12-5</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E236DA" w:rsidRPr="00B0078A" w:rsidTr="00E236DA">
        <w:trPr>
          <w:trHeight w:val="406"/>
        </w:trPr>
        <w:tc>
          <w:tcPr>
            <w:tcW w:w="596" w:type="pct"/>
            <w:tcBorders>
              <w:bottom w:val="single" w:sz="4" w:space="0" w:color="auto"/>
            </w:tcBorders>
            <w:vAlign w:val="center"/>
          </w:tcPr>
          <w:p w:rsidR="00E236DA" w:rsidRDefault="00E236DA" w:rsidP="00EC2DDD">
            <w:pPr>
              <w:tabs>
                <w:tab w:val="left" w:pos="1134"/>
                <w:tab w:val="left" w:pos="5760"/>
              </w:tabs>
              <w:jc w:val="left"/>
              <w:rPr>
                <w:bCs/>
                <w:szCs w:val="24"/>
                <w:lang w:val="en-US"/>
              </w:rPr>
            </w:pPr>
            <w:r>
              <w:rPr>
                <w:bCs/>
                <w:szCs w:val="24"/>
                <w:lang w:val="en-US"/>
              </w:rPr>
              <w:t>D11-5</w:t>
            </w:r>
          </w:p>
        </w:tc>
        <w:tc>
          <w:tcPr>
            <w:tcW w:w="835"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523" w:type="pct"/>
          </w:tcPr>
          <w:p w:rsidR="00E236DA" w:rsidRPr="00B0078A" w:rsidRDefault="00E236DA" w:rsidP="00B0078A">
            <w:pPr>
              <w:spacing w:line="280" w:lineRule="exact"/>
              <w:jc w:val="center"/>
              <w:rPr>
                <w:rFonts w:eastAsia="Calibri" w:cstheme="minorBidi"/>
                <w:sz w:val="22"/>
                <w:szCs w:val="22"/>
                <w:lang w:val="en-US"/>
              </w:rPr>
            </w:pPr>
          </w:p>
        </w:tc>
        <w:tc>
          <w:tcPr>
            <w:tcW w:w="680" w:type="pct"/>
            <w:vAlign w:val="center"/>
          </w:tcPr>
          <w:p w:rsidR="00E236DA" w:rsidRPr="00B0078A" w:rsidRDefault="00E236DA" w:rsidP="00B0078A">
            <w:pPr>
              <w:spacing w:line="280" w:lineRule="exact"/>
              <w:jc w:val="center"/>
              <w:rPr>
                <w:rFonts w:eastAsia="Calibri" w:cstheme="minorBidi"/>
                <w:sz w:val="22"/>
                <w:szCs w:val="22"/>
                <w:lang w:val="en-US"/>
              </w:rPr>
            </w:pPr>
          </w:p>
        </w:tc>
        <w:tc>
          <w:tcPr>
            <w:tcW w:w="680" w:type="pct"/>
            <w:tcBorders>
              <w:bottom w:val="single" w:sz="4" w:space="0" w:color="auto"/>
            </w:tcBorders>
            <w:vAlign w:val="center"/>
          </w:tcPr>
          <w:p w:rsidR="00E236DA" w:rsidRPr="00B0078A" w:rsidRDefault="00E236DA" w:rsidP="00B0078A">
            <w:pPr>
              <w:spacing w:line="280" w:lineRule="exact"/>
              <w:jc w:val="center"/>
              <w:rPr>
                <w:rFonts w:eastAsia="Calibri" w:cstheme="minorBidi"/>
                <w:sz w:val="22"/>
                <w:szCs w:val="22"/>
                <w:lang w:val="en-US"/>
              </w:rPr>
            </w:pPr>
          </w:p>
        </w:tc>
        <w:tc>
          <w:tcPr>
            <w:tcW w:w="1163" w:type="pct"/>
            <w:vAlign w:val="center"/>
          </w:tcPr>
          <w:p w:rsidR="00E236DA" w:rsidRPr="00B0078A" w:rsidRDefault="00E236DA" w:rsidP="00B0078A">
            <w:pPr>
              <w:spacing w:line="280" w:lineRule="exact"/>
              <w:rPr>
                <w:rFonts w:eastAsia="Calibri" w:cstheme="minorBidi"/>
                <w:sz w:val="22"/>
                <w:szCs w:val="22"/>
                <w:lang w:val="en-US"/>
              </w:rPr>
            </w:pPr>
          </w:p>
        </w:tc>
      </w:tr>
      <w:tr w:rsidR="00364C06" w:rsidRPr="00B0078A" w:rsidTr="00E236DA">
        <w:trPr>
          <w:trHeight w:val="416"/>
        </w:trPr>
        <w:tc>
          <w:tcPr>
            <w:tcW w:w="596" w:type="pct"/>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835" w:type="pct"/>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523" w:type="pct"/>
          </w:tcPr>
          <w:p w:rsidR="00364C06" w:rsidRPr="00B0078A" w:rsidRDefault="00364C06" w:rsidP="00B0078A">
            <w:pPr>
              <w:spacing w:line="280" w:lineRule="exact"/>
              <w:jc w:val="center"/>
              <w:rPr>
                <w:rFonts w:eastAsia="Calibri"/>
                <w:szCs w:val="24"/>
                <w:lang w:val="en-US"/>
              </w:rPr>
            </w:pPr>
          </w:p>
        </w:tc>
        <w:tc>
          <w:tcPr>
            <w:tcW w:w="523" w:type="pct"/>
          </w:tcPr>
          <w:p w:rsidR="00364C06" w:rsidRPr="00B0078A" w:rsidRDefault="00364C06" w:rsidP="00B0078A">
            <w:pPr>
              <w:spacing w:line="280" w:lineRule="exact"/>
              <w:jc w:val="center"/>
              <w:rPr>
                <w:rFonts w:eastAsia="Calibri"/>
                <w:szCs w:val="24"/>
                <w:lang w:val="en-US"/>
              </w:rPr>
            </w:pPr>
          </w:p>
        </w:tc>
        <w:tc>
          <w:tcPr>
            <w:tcW w:w="680" w:type="pct"/>
            <w:vAlign w:val="center"/>
          </w:tcPr>
          <w:p w:rsidR="00364C06" w:rsidRPr="00B0078A" w:rsidRDefault="00364C06" w:rsidP="00B0078A">
            <w:pPr>
              <w:spacing w:line="280" w:lineRule="exact"/>
              <w:jc w:val="center"/>
              <w:rPr>
                <w:rFonts w:eastAsia="Calibri"/>
                <w:szCs w:val="24"/>
                <w:lang w:val="en-US"/>
              </w:rPr>
            </w:pPr>
          </w:p>
        </w:tc>
        <w:tc>
          <w:tcPr>
            <w:tcW w:w="680" w:type="pct"/>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1163" w:type="pct"/>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w:t>
      </w:r>
      <w:r w:rsidR="00E236DA">
        <w:t>les.</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4D"/>
    <w:family w:val="roman"/>
    <w:notTrueType/>
    <w:pitch w:val="default"/>
    <w:sig w:usb0="00000000" w:usb1="0633659C" w:usb2="00000015" w:usb3="07233864" w:csb0="16BB20C1" w:csb1="072338E8"/>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9758C1" w:rsidRDefault="00E43D64" w:rsidP="00E43D64">
            <w:pPr>
              <w:pStyle w:val="Footer"/>
              <w:jc w:val="center"/>
            </w:pPr>
            <w:r w:rsidRPr="009758C1">
              <w:t xml:space="preserve">Page </w:t>
            </w:r>
            <w:r w:rsidRPr="009758C1">
              <w:rPr>
                <w:bCs/>
                <w:szCs w:val="24"/>
              </w:rPr>
              <w:fldChar w:fldCharType="begin"/>
            </w:r>
            <w:r w:rsidRPr="009758C1">
              <w:rPr>
                <w:bCs/>
              </w:rPr>
              <w:instrText xml:space="preserve"> PAGE </w:instrText>
            </w:r>
            <w:r w:rsidRPr="009758C1">
              <w:rPr>
                <w:bCs/>
                <w:szCs w:val="24"/>
              </w:rPr>
              <w:fldChar w:fldCharType="separate"/>
            </w:r>
            <w:r w:rsidR="00467587">
              <w:rPr>
                <w:bCs/>
                <w:noProof/>
              </w:rPr>
              <w:t>1</w:t>
            </w:r>
            <w:r w:rsidRPr="009758C1">
              <w:rPr>
                <w:bCs/>
                <w:szCs w:val="24"/>
              </w:rPr>
              <w:fldChar w:fldCharType="end"/>
            </w:r>
            <w:r w:rsidRPr="009758C1">
              <w:t xml:space="preserve"> of </w:t>
            </w:r>
            <w:r w:rsidRPr="009758C1">
              <w:rPr>
                <w:bCs/>
                <w:szCs w:val="24"/>
              </w:rPr>
              <w:fldChar w:fldCharType="begin"/>
            </w:r>
            <w:r w:rsidRPr="009758C1">
              <w:rPr>
                <w:bCs/>
              </w:rPr>
              <w:instrText xml:space="preserve"> NUMPAGES  </w:instrText>
            </w:r>
            <w:r w:rsidRPr="009758C1">
              <w:rPr>
                <w:bCs/>
                <w:szCs w:val="24"/>
              </w:rPr>
              <w:fldChar w:fldCharType="separate"/>
            </w:r>
            <w:r w:rsidR="00467587">
              <w:rPr>
                <w:bCs/>
                <w:noProof/>
              </w:rPr>
              <w:t>3</w:t>
            </w:r>
            <w:r w:rsidRPr="009758C1">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86557D">
      <w:rPr>
        <w:b/>
        <w:sz w:val="32"/>
        <w:szCs w:val="32"/>
        <w:lang w:val="it-IT"/>
      </w:rPr>
      <w:t>/16471</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E1A50"/>
    <w:rsid w:val="000E7897"/>
    <w:rsid w:val="00104FE7"/>
    <w:rsid w:val="001240D5"/>
    <w:rsid w:val="00125D52"/>
    <w:rsid w:val="0015661F"/>
    <w:rsid w:val="00162DF3"/>
    <w:rsid w:val="001B6E4E"/>
    <w:rsid w:val="001D7990"/>
    <w:rsid w:val="00202170"/>
    <w:rsid w:val="002A643E"/>
    <w:rsid w:val="002C4911"/>
    <w:rsid w:val="00303C65"/>
    <w:rsid w:val="00335A06"/>
    <w:rsid w:val="00364C06"/>
    <w:rsid w:val="00373ACE"/>
    <w:rsid w:val="003A2F60"/>
    <w:rsid w:val="003C27AF"/>
    <w:rsid w:val="003D538A"/>
    <w:rsid w:val="003F2FDC"/>
    <w:rsid w:val="00467587"/>
    <w:rsid w:val="00491B88"/>
    <w:rsid w:val="004B3E91"/>
    <w:rsid w:val="004D12CB"/>
    <w:rsid w:val="004D5DA3"/>
    <w:rsid w:val="004E4DA5"/>
    <w:rsid w:val="00502D22"/>
    <w:rsid w:val="00533941"/>
    <w:rsid w:val="00536C52"/>
    <w:rsid w:val="00553CAE"/>
    <w:rsid w:val="00566CDF"/>
    <w:rsid w:val="0058013D"/>
    <w:rsid w:val="005E6852"/>
    <w:rsid w:val="005F463C"/>
    <w:rsid w:val="00607E36"/>
    <w:rsid w:val="0061579A"/>
    <w:rsid w:val="00626F0A"/>
    <w:rsid w:val="0067110F"/>
    <w:rsid w:val="00673C19"/>
    <w:rsid w:val="006A7352"/>
    <w:rsid w:val="006D226B"/>
    <w:rsid w:val="00704F0F"/>
    <w:rsid w:val="00714DBB"/>
    <w:rsid w:val="007A0D5A"/>
    <w:rsid w:val="007C094D"/>
    <w:rsid w:val="007E1B3B"/>
    <w:rsid w:val="00823A24"/>
    <w:rsid w:val="0086557D"/>
    <w:rsid w:val="008753B0"/>
    <w:rsid w:val="00881D90"/>
    <w:rsid w:val="00885447"/>
    <w:rsid w:val="008B3B74"/>
    <w:rsid w:val="00902F1A"/>
    <w:rsid w:val="00925872"/>
    <w:rsid w:val="00945535"/>
    <w:rsid w:val="009758C1"/>
    <w:rsid w:val="009800B4"/>
    <w:rsid w:val="00984040"/>
    <w:rsid w:val="00991359"/>
    <w:rsid w:val="00995A3F"/>
    <w:rsid w:val="009B229E"/>
    <w:rsid w:val="009F4E1B"/>
    <w:rsid w:val="00A14D00"/>
    <w:rsid w:val="00A63A60"/>
    <w:rsid w:val="00A93DF6"/>
    <w:rsid w:val="00AA37EB"/>
    <w:rsid w:val="00AE41AB"/>
    <w:rsid w:val="00B0078A"/>
    <w:rsid w:val="00B14994"/>
    <w:rsid w:val="00B1768C"/>
    <w:rsid w:val="00B258A5"/>
    <w:rsid w:val="00B64A8A"/>
    <w:rsid w:val="00BA77BB"/>
    <w:rsid w:val="00BB0154"/>
    <w:rsid w:val="00BF41E8"/>
    <w:rsid w:val="00C505F5"/>
    <w:rsid w:val="00C52648"/>
    <w:rsid w:val="00C949CA"/>
    <w:rsid w:val="00C975D4"/>
    <w:rsid w:val="00CB4883"/>
    <w:rsid w:val="00CC13B8"/>
    <w:rsid w:val="00CD16FA"/>
    <w:rsid w:val="00CF7567"/>
    <w:rsid w:val="00D14686"/>
    <w:rsid w:val="00D17C01"/>
    <w:rsid w:val="00D2177B"/>
    <w:rsid w:val="00D264AD"/>
    <w:rsid w:val="00D31EE9"/>
    <w:rsid w:val="00D375C8"/>
    <w:rsid w:val="00D54F93"/>
    <w:rsid w:val="00D71371"/>
    <w:rsid w:val="00D965FC"/>
    <w:rsid w:val="00E00403"/>
    <w:rsid w:val="00E102D8"/>
    <w:rsid w:val="00E236DA"/>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19</cp:revision>
  <cp:lastPrinted>2018-10-30T14:38:00Z</cp:lastPrinted>
  <dcterms:created xsi:type="dcterms:W3CDTF">2018-04-26T12:51:00Z</dcterms:created>
  <dcterms:modified xsi:type="dcterms:W3CDTF">2018-10-30T14:38:00Z</dcterms:modified>
</cp:coreProperties>
</file>