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4FC" w:rsidRDefault="00E84719">
      <w:r>
        <w:rPr>
          <w:noProof/>
        </w:rPr>
        <mc:AlternateContent>
          <mc:Choice Requires="wps">
            <w:drawing>
              <wp:anchor distT="0" distB="0" distL="114300" distR="114300" simplePos="0" relativeHeight="251656192" behindDoc="0" locked="0" layoutInCell="1" allowOverlap="1" wp14:anchorId="20EEAC39" wp14:editId="7F51CB43">
                <wp:simplePos x="0" y="0"/>
                <wp:positionH relativeFrom="column">
                  <wp:posOffset>-485775</wp:posOffset>
                </wp:positionH>
                <wp:positionV relativeFrom="paragraph">
                  <wp:posOffset>-314325</wp:posOffset>
                </wp:positionV>
                <wp:extent cx="1352550" cy="676275"/>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676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04FC" w:rsidRDefault="00E84719">
                            <w:r>
                              <w:rPr>
                                <w:noProof/>
                              </w:rPr>
                              <w:drawing>
                                <wp:inline distT="0" distB="0" distL="0" distR="0" wp14:anchorId="4BCDAA2A" wp14:editId="2C05DD9F">
                                  <wp:extent cx="1238250" cy="590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5905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EEAC39" id="_x0000_t202" coordsize="21600,21600" o:spt="202" path="m,l,21600r21600,l21600,xe">
                <v:stroke joinstyle="miter"/>
                <v:path gradientshapeok="t" o:connecttype="rect"/>
              </v:shapetype>
              <v:shape id="Text Box 4" o:spid="_x0000_s1026" type="#_x0000_t202" style="position:absolute;left:0;text-align:left;margin-left:-38.25pt;margin-top:-24.75pt;width:106.5pt;height:53.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" filled="f" stroked="f">
                <v:textbox>
                  <w:txbxContent>
                    <w:p w:rsidR="00FA04FC" w:rsidRDefault="00E84719">
                      <w:r>
                        <w:rPr>
                          <w:noProof/>
                        </w:rPr>
                        <w:drawing>
                          <wp:inline distT="0" distB="0" distL="0" distR="0" wp14:anchorId="4BCDAA2A" wp14:editId="2C05DD9F">
                            <wp:extent cx="1238250" cy="590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8250" cy="590550"/>
                                    </a:xfrm>
                                    <a:prstGeom prst="rect">
                                      <a:avLst/>
                                    </a:prstGeom>
                                    <a:noFill/>
                                    <a:ln>
                                      <a:noFill/>
                                    </a:ln>
                                  </pic:spPr>
                                </pic:pic>
                              </a:graphicData>
                            </a:graphic>
                          </wp:inline>
                        </w:drawing>
                      </w:r>
                    </w:p>
                  </w:txbxContent>
                </v:textbox>
              </v:shape>
            </w:pict>
          </mc:Fallback>
        </mc:AlternateContent>
      </w:r>
    </w:p>
    <w:p w:rsidR="00FA04FC" w:rsidRDefault="00FA04FC" w:rsidP="00060902"/>
    <w:p w:rsidR="00060902" w:rsidRPr="00BD793F" w:rsidRDefault="00060902" w:rsidP="00060902">
      <w:pPr>
        <w:rPr>
          <w:b/>
          <w:sz w:val="48"/>
          <w:szCs w:val="48"/>
        </w:rPr>
      </w:pPr>
    </w:p>
    <w:p w:rsidR="00FA04FC" w:rsidRPr="00BD793F" w:rsidRDefault="004461CF" w:rsidP="00FA04FC">
      <w:pPr>
        <w:jc w:val="center"/>
        <w:rPr>
          <w:b/>
          <w:sz w:val="48"/>
          <w:szCs w:val="48"/>
        </w:rPr>
      </w:pPr>
      <w:r w:rsidRPr="00BD793F">
        <w:rPr>
          <w:b/>
          <w:sz w:val="48"/>
          <w:szCs w:val="48"/>
        </w:rPr>
        <w:t xml:space="preserve">Design and manufacturing of the </w:t>
      </w:r>
      <w:r w:rsidR="00BD793F" w:rsidRPr="00BD793F">
        <w:rPr>
          <w:b/>
          <w:color w:val="000000"/>
          <w:sz w:val="48"/>
          <w:szCs w:val="48"/>
        </w:rPr>
        <w:t>VV PHTS Primary H</w:t>
      </w:r>
      <w:r w:rsidR="00BD793F">
        <w:rPr>
          <w:b/>
          <w:color w:val="000000"/>
          <w:sz w:val="48"/>
          <w:szCs w:val="48"/>
        </w:rPr>
        <w:t xml:space="preserve">X (HX-1000), Volume control HX (HX-5001) and </w:t>
      </w:r>
      <w:r w:rsidR="00BD793F" w:rsidRPr="00BD793F">
        <w:rPr>
          <w:b/>
          <w:color w:val="000000"/>
          <w:sz w:val="48"/>
          <w:szCs w:val="48"/>
        </w:rPr>
        <w:t>Decay HX (HX-2000)</w:t>
      </w:r>
    </w:p>
    <w:p w:rsidR="00F80EC1" w:rsidRPr="007707AC" w:rsidRDefault="00F80EC1" w:rsidP="00FA04FC">
      <w:pPr>
        <w:jc w:val="center"/>
        <w:rPr>
          <w:b/>
          <w:sz w:val="44"/>
          <w:szCs w:val="44"/>
        </w:rPr>
      </w:pPr>
    </w:p>
    <w:p w:rsidR="00FA04FC" w:rsidRPr="006E6CBE" w:rsidRDefault="00FA04FC" w:rsidP="00821D88"/>
    <w:p w:rsidR="00FA04FC" w:rsidRPr="00E2720A" w:rsidRDefault="00FA04FC" w:rsidP="00FA04FC">
      <w:pPr>
        <w:jc w:val="center"/>
        <w:rPr>
          <w:b/>
          <w:color w:val="0000FF"/>
          <w:sz w:val="32"/>
          <w:szCs w:val="32"/>
          <w:u w:val="single"/>
        </w:rPr>
      </w:pPr>
      <w:r w:rsidRPr="00E2720A">
        <w:rPr>
          <w:b/>
          <w:color w:val="0000FF"/>
          <w:sz w:val="32"/>
          <w:szCs w:val="32"/>
          <w:u w:val="single"/>
        </w:rPr>
        <w:t xml:space="preserve">Call for </w:t>
      </w:r>
      <w:r>
        <w:rPr>
          <w:b/>
          <w:color w:val="0000FF"/>
          <w:sz w:val="32"/>
          <w:szCs w:val="32"/>
          <w:u w:val="single"/>
        </w:rPr>
        <w:t>Nomination</w:t>
      </w:r>
      <w:r w:rsidRPr="00E2720A">
        <w:rPr>
          <w:b/>
          <w:color w:val="0000FF"/>
          <w:sz w:val="32"/>
          <w:szCs w:val="32"/>
          <w:u w:val="single"/>
        </w:rPr>
        <w:t xml:space="preserve"> </w:t>
      </w:r>
    </w:p>
    <w:p w:rsidR="00913659" w:rsidRDefault="00913659" w:rsidP="00821D88"/>
    <w:p w:rsidR="00FA04FC" w:rsidRPr="000E7871" w:rsidRDefault="00FA04FC" w:rsidP="000E7871">
      <w:pPr>
        <w:rPr>
          <w:b/>
        </w:rPr>
      </w:pPr>
      <w:r w:rsidRPr="000E7871">
        <w:rPr>
          <w:b/>
        </w:rPr>
        <w:t>Purpose</w:t>
      </w:r>
    </w:p>
    <w:p w:rsidR="00120DF4" w:rsidRDefault="00FA04FC" w:rsidP="00F80EC1">
      <w:r w:rsidRPr="000E7871">
        <w:rPr>
          <w:lang w:val="en-US"/>
        </w:rPr>
        <w:t xml:space="preserve">The purpose of this Contract is to </w:t>
      </w:r>
      <w:r w:rsidR="004461CF">
        <w:rPr>
          <w:lang w:val="en-US"/>
        </w:rPr>
        <w:t xml:space="preserve">design and manufacture </w:t>
      </w:r>
      <w:r w:rsidR="00F80EC1">
        <w:rPr>
          <w:lang w:val="en-US"/>
        </w:rPr>
        <w:t xml:space="preserve">the </w:t>
      </w:r>
      <w:r w:rsidR="00BD793F">
        <w:rPr>
          <w:lang w:val="en-US"/>
        </w:rPr>
        <w:t>heat exchangers</w:t>
      </w:r>
      <w:r w:rsidR="00F80EC1">
        <w:rPr>
          <w:lang w:val="en-US"/>
        </w:rPr>
        <w:t xml:space="preserve"> of the Vacuum Vessel Primary Heat Transfer System</w:t>
      </w:r>
      <w:r w:rsidR="00120DF4">
        <w:t>.</w:t>
      </w:r>
      <w:r w:rsidR="00120DF4" w:rsidRPr="00004609">
        <w:t xml:space="preserve"> </w:t>
      </w:r>
    </w:p>
    <w:p w:rsidR="004461CF" w:rsidRDefault="002679A2" w:rsidP="003B4D7A">
      <w:r>
        <w:rPr>
          <w:lang w:val="en-US"/>
        </w:rPr>
        <w:t>T</w:t>
      </w:r>
      <w:r w:rsidR="004461CF">
        <w:rPr>
          <w:lang w:val="en-US"/>
        </w:rPr>
        <w:t>he heat exchanger</w:t>
      </w:r>
      <w:r w:rsidR="00BD793F">
        <w:rPr>
          <w:lang w:val="en-US"/>
        </w:rPr>
        <w:t>s</w:t>
      </w:r>
      <w:r w:rsidR="004461CF">
        <w:rPr>
          <w:lang w:val="en-US"/>
        </w:rPr>
        <w:t xml:space="preserve"> shall be compliant with the </w:t>
      </w:r>
      <w:bookmarkStart w:id="0" w:name="_Ref484849619"/>
      <w:r w:rsidR="004461CF" w:rsidRPr="00B00583">
        <w:t>French Order dated 30 December 2015 on Nuclear Pressure Equipment (ESPN</w:t>
      </w:r>
      <w:r w:rsidR="004461CF">
        <w:t>)</w:t>
      </w:r>
      <w:bookmarkEnd w:id="0"/>
      <w:r w:rsidR="00120DF4">
        <w:t xml:space="preserve"> and the 2014/068 EU directive</w:t>
      </w:r>
      <w:r w:rsidR="004461CF">
        <w:t xml:space="preserve">. The </w:t>
      </w:r>
      <w:r>
        <w:t xml:space="preserve">VV PHTS </w:t>
      </w:r>
      <w:r w:rsidR="00BD793F">
        <w:t>heat exchangers are</w:t>
      </w:r>
      <w:r w:rsidR="00120DF4">
        <w:t xml:space="preserve"> classified as an</w:t>
      </w:r>
      <w:r w:rsidR="004461CF">
        <w:t xml:space="preserve"> ESPN </w:t>
      </w:r>
      <w:r w:rsidR="00120DF4">
        <w:t xml:space="preserve">equipment </w:t>
      </w:r>
      <w:r w:rsidR="004461CF">
        <w:t>level N3.</w:t>
      </w:r>
    </w:p>
    <w:p w:rsidR="00BD793F" w:rsidRDefault="00BD793F" w:rsidP="003B4D7A">
      <w:r>
        <w:t xml:space="preserve">The heat exchangers shall be shell-and-tube type. </w:t>
      </w:r>
    </w:p>
    <w:p w:rsidR="005F1D52" w:rsidRDefault="00D033D5" w:rsidP="003B4D7A">
      <w:r>
        <w:t>The ITER Organization</w:t>
      </w:r>
      <w:r w:rsidR="005F1D52">
        <w:t xml:space="preserve"> will act as Equipment Manufacturer </w:t>
      </w:r>
      <w:r w:rsidR="005F1D52" w:rsidRPr="00937135">
        <w:t xml:space="preserve">as it pertains to the ESPN, </w:t>
      </w:r>
      <w:r w:rsidR="005F1D52">
        <w:t xml:space="preserve">which </w:t>
      </w:r>
      <w:r w:rsidR="005F1D52" w:rsidRPr="00937135">
        <w:t>is the legal entity which assumes responsibility for the design, manufacture and inspection of a product to be marketed under its name as an item of pressure equipment, nuclear pressure equipment, or a nuclear pressure assembly.</w:t>
      </w:r>
      <w:r w:rsidR="005F1D52">
        <w:t xml:space="preserve"> </w:t>
      </w:r>
      <w:r>
        <w:t>ITER will liaise with the</w:t>
      </w:r>
      <w:r w:rsidR="005F1D52">
        <w:t xml:space="preserve"> Agreed Notified Body for the ESPN compliance assessment.</w:t>
      </w:r>
    </w:p>
    <w:p w:rsidR="00D033D5" w:rsidRDefault="00D033D5" w:rsidP="003B4D7A">
      <w:r>
        <w:t xml:space="preserve">The supplier will be responsible of drafting the </w:t>
      </w:r>
      <w:r w:rsidR="00B56D4D" w:rsidRPr="00B00583">
        <w:t>Nuclear Pressure Equipment (ESPN</w:t>
      </w:r>
      <w:r w:rsidR="00B56D4D">
        <w:t xml:space="preserve">) and the 2014/068 EU directive required </w:t>
      </w:r>
      <w:r>
        <w:t>documentation, such as hazards and risk analysis, design notes and drawings, d</w:t>
      </w:r>
      <w:r w:rsidRPr="00AD6BEB">
        <w:t>esign notes justifying correct equipment behaviour for each possibility of damage from the different cases of load combinations</w:t>
      </w:r>
      <w:r>
        <w:t xml:space="preserve">, instruction manual as well as any other document that can be used to show compliance to the essential safety requirements. </w:t>
      </w:r>
    </w:p>
    <w:p w:rsidR="004461CF" w:rsidRDefault="004461CF" w:rsidP="003B4D7A">
      <w:r>
        <w:t xml:space="preserve">The </w:t>
      </w:r>
      <w:r w:rsidR="000D5A53">
        <w:t xml:space="preserve">main </w:t>
      </w:r>
      <w:r>
        <w:t xml:space="preserve">design parameters of the </w:t>
      </w:r>
      <w:r w:rsidR="00BD793F">
        <w:t>heat exchangers</w:t>
      </w:r>
      <w:r>
        <w:t xml:space="preserve"> are the following:</w:t>
      </w:r>
    </w:p>
    <w:p w:rsidR="00BD793F" w:rsidRPr="00BD793F" w:rsidRDefault="00BD793F" w:rsidP="00BD793F">
      <w:pPr>
        <w:rPr>
          <w:b/>
        </w:rPr>
      </w:pPr>
      <w:r w:rsidRPr="00BD793F">
        <w:rPr>
          <w:b/>
        </w:rPr>
        <w:t>Volume Control HX (HX-5001): water/water heat exchanger</w:t>
      </w:r>
    </w:p>
    <w:p w:rsidR="00BD793F" w:rsidRPr="000721FD" w:rsidRDefault="00BD793F" w:rsidP="00BD793F">
      <w:r>
        <w:t>h.S:</w:t>
      </w:r>
      <w:r w:rsidRPr="000721FD">
        <w:t xml:space="preserve"> 29.4 kW/K</w:t>
      </w:r>
    </w:p>
    <w:p w:rsidR="00BD793F" w:rsidRDefault="00BD793F" w:rsidP="00BD793F">
      <w:r w:rsidRPr="000721FD">
        <w:t xml:space="preserve">Rated </w:t>
      </w:r>
      <w:r>
        <w:t xml:space="preserve">power: </w:t>
      </w:r>
      <w:r w:rsidRPr="000721FD">
        <w:t>2.2 MW</w:t>
      </w:r>
    </w:p>
    <w:p w:rsidR="00BD793F" w:rsidRDefault="00BD793F" w:rsidP="00BD793F">
      <w:r>
        <w:t>P</w:t>
      </w:r>
      <w:r w:rsidRPr="000721FD">
        <w:rPr>
          <w:vertAlign w:val="subscript"/>
        </w:rPr>
        <w:t>design</w:t>
      </w:r>
      <w:r>
        <w:t>: 2.6 MPa</w:t>
      </w:r>
    </w:p>
    <w:p w:rsidR="00BD793F" w:rsidRDefault="00BD793F" w:rsidP="00BD793F">
      <w:r>
        <w:t>T</w:t>
      </w:r>
      <w:r w:rsidRPr="000721FD">
        <w:rPr>
          <w:vertAlign w:val="subscript"/>
        </w:rPr>
        <w:t>design</w:t>
      </w:r>
      <w:r>
        <w:t>: 240 °C</w:t>
      </w:r>
    </w:p>
    <w:p w:rsidR="00BD793F" w:rsidRDefault="00BD793F" w:rsidP="00BD793F">
      <w:r>
        <w:t>Fouling (process side): 50*10</w:t>
      </w:r>
      <w:r w:rsidRPr="007C3276">
        <w:rPr>
          <w:vertAlign w:val="superscript"/>
        </w:rPr>
        <w:t>-6</w:t>
      </w:r>
      <w:r>
        <w:t xml:space="preserve"> m</w:t>
      </w:r>
      <w:r w:rsidRPr="007C3276">
        <w:rPr>
          <w:vertAlign w:val="superscript"/>
        </w:rPr>
        <w:t>2</w:t>
      </w:r>
      <w:r>
        <w:t>.K/W</w:t>
      </w:r>
    </w:p>
    <w:p w:rsidR="00BD793F" w:rsidRDefault="00BD793F" w:rsidP="00BD793F">
      <w:r>
        <w:t>Fouling (cooling side): 100*10</w:t>
      </w:r>
      <w:r w:rsidRPr="007C3276">
        <w:rPr>
          <w:vertAlign w:val="superscript"/>
        </w:rPr>
        <w:t>-6</w:t>
      </w:r>
      <w:r>
        <w:t xml:space="preserve"> m</w:t>
      </w:r>
      <w:r w:rsidRPr="007C3276">
        <w:rPr>
          <w:vertAlign w:val="superscript"/>
        </w:rPr>
        <w:t>2</w:t>
      </w:r>
      <w:r>
        <w:t>.K/W</w:t>
      </w:r>
    </w:p>
    <w:p w:rsidR="00BD793F" w:rsidRDefault="00BD793F" w:rsidP="00BD793F">
      <w:r>
        <w:lastRenderedPageBreak/>
        <w:t>For the rated conditions</w:t>
      </w:r>
    </w:p>
    <w:tbl>
      <w:tblPr>
        <w:tblStyle w:val="TableGrid"/>
        <w:tblW w:w="0" w:type="auto"/>
        <w:tblLook w:val="04A0" w:firstRow="1" w:lastRow="0" w:firstColumn="1" w:lastColumn="0" w:noHBand="0" w:noVBand="1"/>
      </w:tblPr>
      <w:tblGrid>
        <w:gridCol w:w="3031"/>
        <w:gridCol w:w="3015"/>
        <w:gridCol w:w="3016"/>
      </w:tblGrid>
      <w:tr w:rsidR="00BD793F" w:rsidTr="00BD793F">
        <w:tc>
          <w:tcPr>
            <w:tcW w:w="3096" w:type="dxa"/>
          </w:tcPr>
          <w:p w:rsidR="00BD793F" w:rsidRDefault="00BD793F" w:rsidP="00BD793F"/>
        </w:tc>
        <w:tc>
          <w:tcPr>
            <w:tcW w:w="3096" w:type="dxa"/>
          </w:tcPr>
          <w:p w:rsidR="00BD793F" w:rsidRDefault="00BD793F" w:rsidP="00BD793F">
            <w:r>
              <w:t>Process side</w:t>
            </w:r>
          </w:p>
        </w:tc>
        <w:tc>
          <w:tcPr>
            <w:tcW w:w="3096" w:type="dxa"/>
          </w:tcPr>
          <w:p w:rsidR="00BD793F" w:rsidRDefault="00BD793F" w:rsidP="00BD793F">
            <w:r>
              <w:t>Cooling side</w:t>
            </w:r>
          </w:p>
        </w:tc>
      </w:tr>
      <w:tr w:rsidR="00BD793F" w:rsidTr="00BD793F">
        <w:tc>
          <w:tcPr>
            <w:tcW w:w="3096" w:type="dxa"/>
          </w:tcPr>
          <w:p w:rsidR="00BD793F" w:rsidRDefault="00BD793F" w:rsidP="00BD793F">
            <w:r>
              <w:t>Inlet temperature</w:t>
            </w:r>
          </w:p>
        </w:tc>
        <w:tc>
          <w:tcPr>
            <w:tcW w:w="3096" w:type="dxa"/>
          </w:tcPr>
          <w:p w:rsidR="00BD793F" w:rsidRDefault="00BD793F" w:rsidP="00BD793F">
            <w:r>
              <w:t xml:space="preserve">195ºC </w:t>
            </w:r>
          </w:p>
        </w:tc>
        <w:tc>
          <w:tcPr>
            <w:tcW w:w="3096" w:type="dxa"/>
          </w:tcPr>
          <w:p w:rsidR="00BD793F" w:rsidRDefault="00BD793F" w:rsidP="00BD793F">
            <w:r>
              <w:t xml:space="preserve">31ºC </w:t>
            </w:r>
          </w:p>
        </w:tc>
      </w:tr>
      <w:tr w:rsidR="00BD793F" w:rsidTr="00BD793F">
        <w:tc>
          <w:tcPr>
            <w:tcW w:w="3096" w:type="dxa"/>
          </w:tcPr>
          <w:p w:rsidR="00BD793F" w:rsidRDefault="00BD793F" w:rsidP="00BD793F">
            <w:r>
              <w:t>Flow rate</w:t>
            </w:r>
          </w:p>
        </w:tc>
        <w:tc>
          <w:tcPr>
            <w:tcW w:w="3096" w:type="dxa"/>
          </w:tcPr>
          <w:p w:rsidR="00BD793F" w:rsidRDefault="00BD793F" w:rsidP="00BD793F">
            <w:r>
              <w:t>4.8 kg/s</w:t>
            </w:r>
          </w:p>
        </w:tc>
        <w:tc>
          <w:tcPr>
            <w:tcW w:w="3096" w:type="dxa"/>
          </w:tcPr>
          <w:p w:rsidR="00BD793F" w:rsidRDefault="00BD793F" w:rsidP="00BD793F">
            <w:r>
              <w:t>10 kg/s</w:t>
            </w:r>
          </w:p>
        </w:tc>
      </w:tr>
      <w:tr w:rsidR="00BD793F" w:rsidTr="00BD793F">
        <w:tc>
          <w:tcPr>
            <w:tcW w:w="3096" w:type="dxa"/>
          </w:tcPr>
          <w:p w:rsidR="00BD793F" w:rsidRDefault="00BD793F" w:rsidP="00BD793F">
            <w:r>
              <w:t>Allowable pressure drop</w:t>
            </w:r>
          </w:p>
        </w:tc>
        <w:tc>
          <w:tcPr>
            <w:tcW w:w="3096" w:type="dxa"/>
          </w:tcPr>
          <w:p w:rsidR="00BD793F" w:rsidRDefault="00BD793F" w:rsidP="00BD793F">
            <w:r>
              <w:t>0.1 bar</w:t>
            </w:r>
          </w:p>
        </w:tc>
        <w:tc>
          <w:tcPr>
            <w:tcW w:w="3096" w:type="dxa"/>
          </w:tcPr>
          <w:p w:rsidR="00BD793F" w:rsidRDefault="00BD793F" w:rsidP="00BD793F">
            <w:r>
              <w:t>0.5 bar</w:t>
            </w:r>
          </w:p>
        </w:tc>
      </w:tr>
    </w:tbl>
    <w:p w:rsidR="00576E51" w:rsidRPr="00576E51" w:rsidRDefault="00576E51" w:rsidP="00BD793F"/>
    <w:p w:rsidR="00BD793F" w:rsidRPr="00BD793F" w:rsidRDefault="00BD793F" w:rsidP="00BD793F">
      <w:pPr>
        <w:rPr>
          <w:b/>
        </w:rPr>
      </w:pPr>
      <w:r w:rsidRPr="00BD793F">
        <w:rPr>
          <w:b/>
        </w:rPr>
        <w:t>Primary HX (HX-1000):</w:t>
      </w:r>
    </w:p>
    <w:p w:rsidR="00BD793F" w:rsidRPr="000721FD" w:rsidRDefault="00BD793F" w:rsidP="00BD793F">
      <w:r>
        <w:t>h.S:</w:t>
      </w:r>
      <w:r w:rsidRPr="000721FD">
        <w:t xml:space="preserve"> 2</w:t>
      </w:r>
      <w:r>
        <w:t>68.8</w:t>
      </w:r>
      <w:r w:rsidRPr="000721FD">
        <w:t xml:space="preserve"> kW/K</w:t>
      </w:r>
    </w:p>
    <w:p w:rsidR="00BD793F" w:rsidRDefault="00BD793F" w:rsidP="00BD793F">
      <w:r w:rsidRPr="000721FD">
        <w:t xml:space="preserve">Rated </w:t>
      </w:r>
      <w:r>
        <w:t>power: 1</w:t>
      </w:r>
      <w:r w:rsidRPr="000721FD">
        <w:t>2 MW</w:t>
      </w:r>
    </w:p>
    <w:p w:rsidR="00BD793F" w:rsidRDefault="00BD793F" w:rsidP="00BD793F">
      <w:r>
        <w:t>P</w:t>
      </w:r>
      <w:r w:rsidRPr="000721FD">
        <w:rPr>
          <w:vertAlign w:val="subscript"/>
        </w:rPr>
        <w:t>design</w:t>
      </w:r>
      <w:r>
        <w:t>: 3.8 MPa</w:t>
      </w:r>
    </w:p>
    <w:p w:rsidR="00BD793F" w:rsidRDefault="00BD793F" w:rsidP="00BD793F">
      <w:r>
        <w:t>T</w:t>
      </w:r>
      <w:r w:rsidRPr="000721FD">
        <w:rPr>
          <w:vertAlign w:val="subscript"/>
        </w:rPr>
        <w:t>design</w:t>
      </w:r>
      <w:r>
        <w:t>: 240 °C</w:t>
      </w:r>
    </w:p>
    <w:p w:rsidR="00BD793F" w:rsidRDefault="00BD793F" w:rsidP="00BD793F">
      <w:r>
        <w:t>Fouling (process side): 50*10</w:t>
      </w:r>
      <w:r w:rsidRPr="007C3276">
        <w:rPr>
          <w:vertAlign w:val="superscript"/>
        </w:rPr>
        <w:t>-6</w:t>
      </w:r>
      <w:r>
        <w:t xml:space="preserve"> m</w:t>
      </w:r>
      <w:r w:rsidRPr="007C3276">
        <w:rPr>
          <w:vertAlign w:val="superscript"/>
        </w:rPr>
        <w:t>2</w:t>
      </w:r>
      <w:r>
        <w:t>.K/W</w:t>
      </w:r>
    </w:p>
    <w:p w:rsidR="00BD793F" w:rsidRDefault="00BD793F" w:rsidP="00BD793F">
      <w:r>
        <w:t>Fouling (cooling side): 100*10</w:t>
      </w:r>
      <w:r w:rsidRPr="007C3276">
        <w:rPr>
          <w:vertAlign w:val="superscript"/>
        </w:rPr>
        <w:t>-6</w:t>
      </w:r>
      <w:r>
        <w:t xml:space="preserve"> m</w:t>
      </w:r>
      <w:r w:rsidRPr="007C3276">
        <w:rPr>
          <w:vertAlign w:val="superscript"/>
        </w:rPr>
        <w:t>2</w:t>
      </w:r>
      <w:r>
        <w:t>.K/W</w:t>
      </w:r>
    </w:p>
    <w:p w:rsidR="00BD793F" w:rsidRDefault="00BD793F" w:rsidP="00BD793F">
      <w:r>
        <w:t>For the rated conditions</w:t>
      </w:r>
    </w:p>
    <w:tbl>
      <w:tblPr>
        <w:tblStyle w:val="TableGrid"/>
        <w:tblW w:w="0" w:type="auto"/>
        <w:tblLook w:val="04A0" w:firstRow="1" w:lastRow="0" w:firstColumn="1" w:lastColumn="0" w:noHBand="0" w:noVBand="1"/>
      </w:tblPr>
      <w:tblGrid>
        <w:gridCol w:w="3031"/>
        <w:gridCol w:w="3015"/>
        <w:gridCol w:w="3016"/>
      </w:tblGrid>
      <w:tr w:rsidR="00BD793F" w:rsidTr="00CD5DD6">
        <w:tc>
          <w:tcPr>
            <w:tcW w:w="3096" w:type="dxa"/>
          </w:tcPr>
          <w:p w:rsidR="00BD793F" w:rsidRDefault="00BD793F" w:rsidP="00CD5DD6"/>
        </w:tc>
        <w:tc>
          <w:tcPr>
            <w:tcW w:w="3096" w:type="dxa"/>
          </w:tcPr>
          <w:p w:rsidR="00BD793F" w:rsidRDefault="00BD793F" w:rsidP="00CD5DD6">
            <w:r>
              <w:t>Process side</w:t>
            </w:r>
          </w:p>
        </w:tc>
        <w:tc>
          <w:tcPr>
            <w:tcW w:w="3096" w:type="dxa"/>
          </w:tcPr>
          <w:p w:rsidR="00BD793F" w:rsidRDefault="00BD793F" w:rsidP="00CD5DD6">
            <w:r>
              <w:t>Cooling side</w:t>
            </w:r>
          </w:p>
        </w:tc>
      </w:tr>
      <w:tr w:rsidR="00BD793F" w:rsidTr="00CD5DD6">
        <w:tc>
          <w:tcPr>
            <w:tcW w:w="3096" w:type="dxa"/>
          </w:tcPr>
          <w:p w:rsidR="00BD793F" w:rsidRDefault="00BD793F" w:rsidP="00CD5DD6">
            <w:r>
              <w:t>Inlet temperature</w:t>
            </w:r>
          </w:p>
        </w:tc>
        <w:tc>
          <w:tcPr>
            <w:tcW w:w="3096" w:type="dxa"/>
          </w:tcPr>
          <w:p w:rsidR="00BD793F" w:rsidRDefault="00BD793F" w:rsidP="00BD793F">
            <w:r>
              <w:t xml:space="preserve">103ºC </w:t>
            </w:r>
          </w:p>
        </w:tc>
        <w:tc>
          <w:tcPr>
            <w:tcW w:w="3096" w:type="dxa"/>
          </w:tcPr>
          <w:p w:rsidR="00BD793F" w:rsidRDefault="00BD793F" w:rsidP="00CD5DD6">
            <w:r>
              <w:t xml:space="preserve">31ºC </w:t>
            </w:r>
          </w:p>
        </w:tc>
      </w:tr>
      <w:tr w:rsidR="00BD793F" w:rsidTr="00CD5DD6">
        <w:tc>
          <w:tcPr>
            <w:tcW w:w="3096" w:type="dxa"/>
          </w:tcPr>
          <w:p w:rsidR="00BD793F" w:rsidRDefault="00BD793F" w:rsidP="00CD5DD6">
            <w:r>
              <w:t>Flow rate</w:t>
            </w:r>
          </w:p>
        </w:tc>
        <w:tc>
          <w:tcPr>
            <w:tcW w:w="3096" w:type="dxa"/>
          </w:tcPr>
          <w:p w:rsidR="00BD793F" w:rsidRDefault="00576E51" w:rsidP="00576E51">
            <w:r>
              <w:t>170</w:t>
            </w:r>
            <w:r w:rsidR="00BD793F">
              <w:t xml:space="preserve"> kg/s</w:t>
            </w:r>
          </w:p>
        </w:tc>
        <w:tc>
          <w:tcPr>
            <w:tcW w:w="3096" w:type="dxa"/>
          </w:tcPr>
          <w:p w:rsidR="00BD793F" w:rsidRDefault="00BD793F" w:rsidP="00CD5DD6">
            <w:r>
              <w:t>10</w:t>
            </w:r>
            <w:r w:rsidR="00576E51">
              <w:t>0</w:t>
            </w:r>
            <w:r>
              <w:t xml:space="preserve"> kg/s</w:t>
            </w:r>
          </w:p>
        </w:tc>
      </w:tr>
      <w:tr w:rsidR="00BD793F" w:rsidTr="00CD5DD6">
        <w:tc>
          <w:tcPr>
            <w:tcW w:w="3096" w:type="dxa"/>
          </w:tcPr>
          <w:p w:rsidR="00BD793F" w:rsidRDefault="00BD793F" w:rsidP="00CD5DD6">
            <w:r>
              <w:t>Allowable pressure drop</w:t>
            </w:r>
          </w:p>
        </w:tc>
        <w:tc>
          <w:tcPr>
            <w:tcW w:w="3096" w:type="dxa"/>
          </w:tcPr>
          <w:p w:rsidR="00BD793F" w:rsidRDefault="00BD793F" w:rsidP="00CD5DD6">
            <w:r>
              <w:t>0.5 bar</w:t>
            </w:r>
          </w:p>
        </w:tc>
        <w:tc>
          <w:tcPr>
            <w:tcW w:w="3096" w:type="dxa"/>
          </w:tcPr>
          <w:p w:rsidR="00BD793F" w:rsidRDefault="00BD793F" w:rsidP="00CD5DD6">
            <w:r>
              <w:t>0.5 bar</w:t>
            </w:r>
          </w:p>
        </w:tc>
      </w:tr>
    </w:tbl>
    <w:p w:rsidR="00576E51" w:rsidRDefault="00576E51" w:rsidP="00BD793F"/>
    <w:p w:rsidR="00BD793F" w:rsidRPr="00576E51" w:rsidRDefault="00BD793F" w:rsidP="00BD793F">
      <w:pPr>
        <w:rPr>
          <w:b/>
        </w:rPr>
      </w:pPr>
      <w:r w:rsidRPr="00576E51">
        <w:rPr>
          <w:b/>
        </w:rPr>
        <w:t>Decay HX</w:t>
      </w:r>
      <w:r w:rsidR="00576E51" w:rsidRPr="00576E51">
        <w:rPr>
          <w:b/>
        </w:rPr>
        <w:t xml:space="preserve"> </w:t>
      </w:r>
      <w:r w:rsidRPr="00576E51">
        <w:rPr>
          <w:b/>
        </w:rPr>
        <w:t>(HX-2000)</w:t>
      </w:r>
      <w:r w:rsidR="00576E51" w:rsidRPr="00576E51">
        <w:rPr>
          <w:b/>
        </w:rPr>
        <w:t>:</w:t>
      </w:r>
    </w:p>
    <w:p w:rsidR="00576E51" w:rsidRPr="000721FD" w:rsidRDefault="00576E51" w:rsidP="00576E51">
      <w:r>
        <w:t>h.S:</w:t>
      </w:r>
      <w:r w:rsidRPr="000721FD">
        <w:t xml:space="preserve"> </w:t>
      </w:r>
      <w:r>
        <w:t>7.6</w:t>
      </w:r>
      <w:r w:rsidRPr="000721FD">
        <w:t xml:space="preserve"> kW/K</w:t>
      </w:r>
    </w:p>
    <w:p w:rsidR="00576E51" w:rsidRDefault="00576E51" w:rsidP="00576E51">
      <w:r w:rsidRPr="000721FD">
        <w:t xml:space="preserve">Rated </w:t>
      </w:r>
      <w:r>
        <w:t>power: 600</w:t>
      </w:r>
      <w:r w:rsidRPr="000721FD">
        <w:t xml:space="preserve"> </w:t>
      </w:r>
      <w:r>
        <w:t>k</w:t>
      </w:r>
      <w:r w:rsidRPr="000721FD">
        <w:t>W</w:t>
      </w:r>
    </w:p>
    <w:p w:rsidR="00576E51" w:rsidRDefault="00576E51" w:rsidP="00576E51">
      <w:r>
        <w:t>P</w:t>
      </w:r>
      <w:r w:rsidRPr="000721FD">
        <w:rPr>
          <w:vertAlign w:val="subscript"/>
        </w:rPr>
        <w:t>design</w:t>
      </w:r>
      <w:r>
        <w:t>: 2.6 MPa</w:t>
      </w:r>
    </w:p>
    <w:p w:rsidR="00576E51" w:rsidRDefault="00576E51" w:rsidP="00576E51">
      <w:r>
        <w:t>T</w:t>
      </w:r>
      <w:r w:rsidRPr="000721FD">
        <w:rPr>
          <w:vertAlign w:val="subscript"/>
        </w:rPr>
        <w:t>design</w:t>
      </w:r>
      <w:r>
        <w:t>: 240 °C</w:t>
      </w:r>
    </w:p>
    <w:p w:rsidR="00576E51" w:rsidRDefault="00576E51" w:rsidP="00576E51">
      <w:r>
        <w:t>Fouling (process side): 50*10</w:t>
      </w:r>
      <w:r w:rsidRPr="007C3276">
        <w:rPr>
          <w:vertAlign w:val="superscript"/>
        </w:rPr>
        <w:t>-6</w:t>
      </w:r>
      <w:r>
        <w:t xml:space="preserve"> m</w:t>
      </w:r>
      <w:r w:rsidRPr="007C3276">
        <w:rPr>
          <w:vertAlign w:val="superscript"/>
        </w:rPr>
        <w:t>2</w:t>
      </w:r>
      <w:r>
        <w:t>.K/W</w:t>
      </w:r>
    </w:p>
    <w:p w:rsidR="00576E51" w:rsidRDefault="00576E51" w:rsidP="00576E51">
      <w:r>
        <w:t>Fouling (cooling side): 100*10</w:t>
      </w:r>
      <w:r w:rsidRPr="007C3276">
        <w:rPr>
          <w:vertAlign w:val="superscript"/>
        </w:rPr>
        <w:t>-6</w:t>
      </w:r>
      <w:r>
        <w:t xml:space="preserve"> m</w:t>
      </w:r>
      <w:r w:rsidRPr="007C3276">
        <w:rPr>
          <w:vertAlign w:val="superscript"/>
        </w:rPr>
        <w:t>2</w:t>
      </w:r>
      <w:r>
        <w:t>.K/W</w:t>
      </w:r>
    </w:p>
    <w:p w:rsidR="00576E51" w:rsidRDefault="00576E51" w:rsidP="00576E51">
      <w:r>
        <w:t>For the rated conditions</w:t>
      </w:r>
    </w:p>
    <w:tbl>
      <w:tblPr>
        <w:tblStyle w:val="TableGrid"/>
        <w:tblW w:w="0" w:type="auto"/>
        <w:tblLook w:val="04A0" w:firstRow="1" w:lastRow="0" w:firstColumn="1" w:lastColumn="0" w:noHBand="0" w:noVBand="1"/>
      </w:tblPr>
      <w:tblGrid>
        <w:gridCol w:w="3031"/>
        <w:gridCol w:w="3015"/>
        <w:gridCol w:w="3016"/>
      </w:tblGrid>
      <w:tr w:rsidR="00576E51" w:rsidTr="00CD5DD6">
        <w:tc>
          <w:tcPr>
            <w:tcW w:w="3096" w:type="dxa"/>
          </w:tcPr>
          <w:p w:rsidR="00576E51" w:rsidRDefault="00576E51" w:rsidP="00CD5DD6"/>
        </w:tc>
        <w:tc>
          <w:tcPr>
            <w:tcW w:w="3096" w:type="dxa"/>
          </w:tcPr>
          <w:p w:rsidR="00576E51" w:rsidRDefault="00576E51" w:rsidP="00CD5DD6">
            <w:r>
              <w:t>Process side</w:t>
            </w:r>
          </w:p>
        </w:tc>
        <w:tc>
          <w:tcPr>
            <w:tcW w:w="3096" w:type="dxa"/>
          </w:tcPr>
          <w:p w:rsidR="00576E51" w:rsidRDefault="00576E51" w:rsidP="00CD5DD6">
            <w:r>
              <w:t>Cooling side</w:t>
            </w:r>
          </w:p>
        </w:tc>
      </w:tr>
      <w:tr w:rsidR="00576E51" w:rsidTr="00CD5DD6">
        <w:tc>
          <w:tcPr>
            <w:tcW w:w="3096" w:type="dxa"/>
          </w:tcPr>
          <w:p w:rsidR="00576E51" w:rsidRDefault="00576E51" w:rsidP="00CD5DD6">
            <w:r>
              <w:t>Inlet temperature</w:t>
            </w:r>
          </w:p>
        </w:tc>
        <w:tc>
          <w:tcPr>
            <w:tcW w:w="3096" w:type="dxa"/>
          </w:tcPr>
          <w:p w:rsidR="00576E51" w:rsidRDefault="00576E51" w:rsidP="00576E51">
            <w:r>
              <w:t xml:space="preserve">101ºC </w:t>
            </w:r>
          </w:p>
        </w:tc>
        <w:tc>
          <w:tcPr>
            <w:tcW w:w="3096" w:type="dxa"/>
          </w:tcPr>
          <w:p w:rsidR="00576E51" w:rsidRDefault="00576E51" w:rsidP="00576E51">
            <w:r>
              <w:t xml:space="preserve">6ºC </w:t>
            </w:r>
          </w:p>
        </w:tc>
      </w:tr>
      <w:tr w:rsidR="00576E51" w:rsidTr="00CD5DD6">
        <w:tc>
          <w:tcPr>
            <w:tcW w:w="3096" w:type="dxa"/>
          </w:tcPr>
          <w:p w:rsidR="00576E51" w:rsidRDefault="00576E51" w:rsidP="00CD5DD6">
            <w:r>
              <w:t>Flow rate</w:t>
            </w:r>
          </w:p>
        </w:tc>
        <w:tc>
          <w:tcPr>
            <w:tcW w:w="3096" w:type="dxa"/>
          </w:tcPr>
          <w:p w:rsidR="00576E51" w:rsidRDefault="00576E51" w:rsidP="00CD5DD6">
            <w:r>
              <w:t>170 kg/s</w:t>
            </w:r>
          </w:p>
        </w:tc>
        <w:tc>
          <w:tcPr>
            <w:tcW w:w="3096" w:type="dxa"/>
          </w:tcPr>
          <w:p w:rsidR="00576E51" w:rsidRDefault="00576E51" w:rsidP="00CD5DD6">
            <w:r>
              <w:t>24 kg/s</w:t>
            </w:r>
          </w:p>
        </w:tc>
      </w:tr>
      <w:tr w:rsidR="00576E51" w:rsidTr="00CD5DD6">
        <w:tc>
          <w:tcPr>
            <w:tcW w:w="3096" w:type="dxa"/>
          </w:tcPr>
          <w:p w:rsidR="00576E51" w:rsidRDefault="00576E51" w:rsidP="00CD5DD6">
            <w:r>
              <w:t>Allowable pressure drop</w:t>
            </w:r>
          </w:p>
        </w:tc>
        <w:tc>
          <w:tcPr>
            <w:tcW w:w="3096" w:type="dxa"/>
          </w:tcPr>
          <w:p w:rsidR="00576E51" w:rsidRDefault="00576E51" w:rsidP="00CD5DD6">
            <w:r>
              <w:t>0.6 bar</w:t>
            </w:r>
          </w:p>
        </w:tc>
        <w:tc>
          <w:tcPr>
            <w:tcW w:w="3096" w:type="dxa"/>
          </w:tcPr>
          <w:p w:rsidR="00576E51" w:rsidRDefault="00576E51" w:rsidP="00CD5DD6">
            <w:r>
              <w:t>0.5 bar</w:t>
            </w:r>
          </w:p>
        </w:tc>
      </w:tr>
    </w:tbl>
    <w:p w:rsidR="00576E51" w:rsidRDefault="00576E51" w:rsidP="00576E51"/>
    <w:p w:rsidR="00BD793F" w:rsidRDefault="00BD793F" w:rsidP="00BD793F"/>
    <w:p w:rsidR="00BD793F" w:rsidRDefault="00BD793F" w:rsidP="00BD793F"/>
    <w:p w:rsidR="002679A2" w:rsidRDefault="002679A2">
      <w:pPr>
        <w:spacing w:after="0"/>
        <w:jc w:val="left"/>
      </w:pPr>
      <w:r>
        <w:br w:type="page"/>
      </w:r>
    </w:p>
    <w:p w:rsidR="00FA04FC" w:rsidRPr="000E7871" w:rsidRDefault="00FA04FC" w:rsidP="000E7871">
      <w:pPr>
        <w:pStyle w:val="ListBullet2"/>
        <w:numPr>
          <w:ilvl w:val="0"/>
          <w:numId w:val="0"/>
        </w:numPr>
        <w:ind w:right="-1"/>
        <w:rPr>
          <w:b/>
        </w:rPr>
      </w:pPr>
      <w:r w:rsidRPr="000E7871">
        <w:rPr>
          <w:b/>
        </w:rPr>
        <w:lastRenderedPageBreak/>
        <w:t>Background</w:t>
      </w:r>
    </w:p>
    <w:p w:rsidR="004461CF" w:rsidRPr="00E7018D" w:rsidRDefault="004461CF" w:rsidP="002679A2">
      <w:r w:rsidRPr="00E7018D">
        <w:t xml:space="preserve">The Tokamak Cooling Water System (TCWS) is the primary coolant system of ITER machine having the aim to remove the power generated by the plasma and transferred to dedicated components of the machine and to release it to the secondary coolant system. </w:t>
      </w:r>
    </w:p>
    <w:p w:rsidR="004461CF" w:rsidRPr="00E7018D" w:rsidRDefault="004461CF" w:rsidP="002679A2">
      <w:pPr>
        <w:rPr>
          <w:bCs/>
        </w:rPr>
      </w:pPr>
      <w:r w:rsidRPr="00E7018D">
        <w:rPr>
          <w:bCs/>
        </w:rPr>
        <w:t xml:space="preserve">The TCWS is based on three Primary Heat Transfer Systems (PHTSs): VV PHTS for cooling the Vacuum Vessel, IBED PHTS for cooling the </w:t>
      </w:r>
      <w:r w:rsidRPr="00E7018D">
        <w:t>in-vessel components and NBI PHTS for cooling the Neutral Beam Injectors.</w:t>
      </w:r>
    </w:p>
    <w:p w:rsidR="004461CF" w:rsidRPr="00E7018D" w:rsidRDefault="004461CF" w:rsidP="002679A2">
      <w:r w:rsidRPr="00E7018D">
        <w:t>The TCWS includes auxiliary systems as the Chemical and Volume Control System (CVCS), Draining and Refilling System (DRS), and Drying System (DYS).</w:t>
      </w:r>
    </w:p>
    <w:p w:rsidR="004461CF" w:rsidRPr="00E7018D" w:rsidRDefault="004461CF" w:rsidP="002679A2">
      <w:r w:rsidRPr="00E7018D">
        <w:t xml:space="preserve">The TCWS is designed to reject all the heat generated in the plasma and transmitted to the in-vessel components to the intermediate closed loop CCWS-1 (Component Cooling Water System 1) and then to the environment via the HRS (Heat Rejection System). TCWS release heat also to the Chilled Water System (CHWS). </w:t>
      </w:r>
    </w:p>
    <w:p w:rsidR="004461CF" w:rsidRPr="00E7018D" w:rsidRDefault="004461CF" w:rsidP="002679A2">
      <w:r w:rsidRPr="00E7018D">
        <w:t xml:space="preserve">In the ITER Plant Breakdown Structure (PBS), the Cooling Water System consisting of TCWS, CCWS, CHWS and HRS, is represented by the PBS 26. The level 2 and 3 of PBS 26 and the sub-systems belonging to TCWS are reported in Table 2.1. </w:t>
      </w:r>
    </w:p>
    <w:p w:rsidR="00576E51" w:rsidRDefault="00CE0027" w:rsidP="002679A2">
      <w:r>
        <w:t xml:space="preserve">The Vacuum Vessel Primary Heat Transfer System (VV PHTS) provides cooling and baking services by supplying demineralized water to the main channels of the vacuum vessel, field joints, port extensions and port stub extension field joints at the lower ports, and the neutral beam port extensions. The VV PHTS is designed to provide the primary confinement for Activated Corrosion Products and tritium entrained in the cooling water outside the Vacuum Vessel and maintains leak tight integrity during all operating modes. The VV PHTS </w:t>
      </w:r>
      <w:r w:rsidR="00576E51">
        <w:t>heat exchangers perform the following functions:</w:t>
      </w:r>
    </w:p>
    <w:p w:rsidR="00576E51" w:rsidRDefault="00576E51" w:rsidP="00576E51">
      <w:pPr>
        <w:pStyle w:val="ListParagraph"/>
        <w:numPr>
          <w:ilvl w:val="0"/>
          <w:numId w:val="8"/>
        </w:numPr>
      </w:pPr>
      <w:r>
        <w:t>HX-1000: removes the power deposited to the vacuum vessel during plasma operation and cools down the vacuum vessel and its PHTS during baking</w:t>
      </w:r>
    </w:p>
    <w:p w:rsidR="00576E51" w:rsidRDefault="00576E51" w:rsidP="00576E51">
      <w:pPr>
        <w:pStyle w:val="ListParagraph"/>
        <w:numPr>
          <w:ilvl w:val="0"/>
          <w:numId w:val="8"/>
        </w:numPr>
      </w:pPr>
      <w:r>
        <w:t>HX-5001: cools down the letdown flow at the inlet of the volume control loop</w:t>
      </w:r>
    </w:p>
    <w:p w:rsidR="00576E51" w:rsidRDefault="00576E51" w:rsidP="00576E51">
      <w:pPr>
        <w:pStyle w:val="ListParagraph"/>
        <w:numPr>
          <w:ilvl w:val="0"/>
          <w:numId w:val="8"/>
        </w:numPr>
      </w:pPr>
      <w:r>
        <w:t>HX-2000: remove the residual power of the in-vessel components following a Loss Of Offsite Power.</w:t>
      </w:r>
    </w:p>
    <w:p w:rsidR="00FA04FC" w:rsidRPr="000E7871" w:rsidRDefault="00FA04FC" w:rsidP="000E7871">
      <w:pPr>
        <w:spacing w:before="120"/>
        <w:rPr>
          <w:b/>
          <w:color w:val="000000"/>
        </w:rPr>
      </w:pPr>
      <w:r w:rsidRPr="000E7871">
        <w:rPr>
          <w:b/>
          <w:color w:val="000000"/>
        </w:rPr>
        <w:t xml:space="preserve">Scope of work </w:t>
      </w:r>
    </w:p>
    <w:p w:rsidR="00FA04FC" w:rsidRPr="000E7871" w:rsidRDefault="00120DF4" w:rsidP="003B4D7A">
      <w:r>
        <w:t xml:space="preserve">The contract will include </w:t>
      </w:r>
      <w:r w:rsidRPr="00004609">
        <w:t xml:space="preserve">design, fabrication, inspection, examination, testing, certification, packaging, and shipping </w:t>
      </w:r>
      <w:r>
        <w:t xml:space="preserve">of the </w:t>
      </w:r>
      <w:r w:rsidR="00CE0027">
        <w:t xml:space="preserve">VV PHTS </w:t>
      </w:r>
      <w:r w:rsidR="00576E51">
        <w:t>heat exchangers</w:t>
      </w:r>
      <w:r>
        <w:t>.</w:t>
      </w:r>
    </w:p>
    <w:p w:rsidR="00FA04FC" w:rsidRPr="000E7871" w:rsidRDefault="00FA04FC" w:rsidP="00F95B25">
      <w:bookmarkStart w:id="1" w:name="_Toc199229862"/>
      <w:bookmarkStart w:id="2" w:name="_Toc212629196"/>
    </w:p>
    <w:p w:rsidR="00FA04FC" w:rsidRPr="000E7871" w:rsidRDefault="00FA04FC" w:rsidP="000E7871">
      <w:pPr>
        <w:rPr>
          <w:b/>
        </w:rPr>
      </w:pPr>
      <w:r w:rsidRPr="000E7871">
        <w:rPr>
          <w:b/>
        </w:rPr>
        <w:t>Timetable</w:t>
      </w:r>
    </w:p>
    <w:p w:rsidR="00FA04FC" w:rsidRPr="000E7871" w:rsidRDefault="00FA04FC" w:rsidP="003B4D7A">
      <w:r w:rsidRPr="000E7871">
        <w:t xml:space="preserve">The tentative timetable is as </w:t>
      </w:r>
      <w:r w:rsidR="00913659" w:rsidRPr="000E7871">
        <w:t>follows:</w:t>
      </w:r>
    </w:p>
    <w:p w:rsidR="00FA04FC" w:rsidRPr="000E7871" w:rsidRDefault="00FA04FC" w:rsidP="00F95B25"/>
    <w:p w:rsidR="00FA04FC" w:rsidRPr="000E7871" w:rsidRDefault="00FA04FC" w:rsidP="00F95B25">
      <w:r w:rsidRPr="000E7871">
        <w:t>Tender submission</w:t>
      </w:r>
      <w:r w:rsidRPr="000E7871">
        <w:tab/>
      </w:r>
      <w:r w:rsidRPr="000E7871">
        <w:tab/>
      </w:r>
      <w:r w:rsidRPr="000E7871">
        <w:tab/>
      </w:r>
      <w:r w:rsidRPr="000E7871">
        <w:tab/>
      </w:r>
      <w:r w:rsidR="00874DF5">
        <w:t>Sept 2019</w:t>
      </w:r>
    </w:p>
    <w:p w:rsidR="00FA04FC" w:rsidRPr="000E7871" w:rsidRDefault="00FA04FC" w:rsidP="00F95B25">
      <w:r w:rsidRPr="000E7871">
        <w:t>Contract placement</w:t>
      </w:r>
      <w:r w:rsidRPr="000E7871">
        <w:tab/>
      </w:r>
      <w:r w:rsidRPr="000E7871">
        <w:tab/>
      </w:r>
      <w:r w:rsidRPr="000E7871">
        <w:tab/>
      </w:r>
      <w:r w:rsidRPr="000E7871">
        <w:tab/>
      </w:r>
      <w:r w:rsidR="00874DF5">
        <w:t>Dec 2019</w:t>
      </w:r>
    </w:p>
    <w:p w:rsidR="00FA04FC" w:rsidRPr="000E7871" w:rsidRDefault="00FA04FC" w:rsidP="00F95B25">
      <w:r w:rsidRPr="000E7871">
        <w:t>Completion of Contract</w:t>
      </w:r>
      <w:r w:rsidRPr="000E7871">
        <w:tab/>
      </w:r>
      <w:r w:rsidRPr="000E7871">
        <w:tab/>
      </w:r>
      <w:r w:rsidRPr="000E7871">
        <w:tab/>
      </w:r>
      <w:r w:rsidR="00F964CD">
        <w:t>July</w:t>
      </w:r>
      <w:r w:rsidR="00874DF5">
        <w:t xml:space="preserve"> </w:t>
      </w:r>
      <w:bookmarkStart w:id="3" w:name="_GoBack"/>
      <w:bookmarkEnd w:id="3"/>
      <w:r w:rsidR="002679A2">
        <w:t>2022</w:t>
      </w:r>
    </w:p>
    <w:p w:rsidR="00FA04FC" w:rsidRPr="000E7871" w:rsidRDefault="00FA04FC" w:rsidP="00F95B25"/>
    <w:p w:rsidR="00FA04FC" w:rsidRPr="000E7871" w:rsidRDefault="00FA04FC" w:rsidP="00F95B25"/>
    <w:p w:rsidR="00FA04FC" w:rsidRPr="000E7871" w:rsidRDefault="00FA04FC" w:rsidP="000E7871">
      <w:pPr>
        <w:pStyle w:val="Heading2"/>
        <w:numPr>
          <w:ilvl w:val="0"/>
          <w:numId w:val="0"/>
        </w:numPr>
        <w:tabs>
          <w:tab w:val="clear" w:pos="1440"/>
        </w:tabs>
        <w:spacing w:before="0"/>
        <w:rPr>
          <w:sz w:val="24"/>
          <w:szCs w:val="24"/>
        </w:rPr>
      </w:pPr>
      <w:bookmarkStart w:id="4" w:name="_Toc198746179"/>
      <w:bookmarkStart w:id="5" w:name="_Toc212629201"/>
      <w:r w:rsidRPr="000E7871">
        <w:rPr>
          <w:sz w:val="24"/>
          <w:szCs w:val="24"/>
        </w:rPr>
        <w:t>Experience</w:t>
      </w:r>
      <w:bookmarkEnd w:id="4"/>
      <w:bookmarkEnd w:id="5"/>
    </w:p>
    <w:p w:rsidR="00120DF4" w:rsidRDefault="00FA04FC" w:rsidP="003B4D7A">
      <w:r w:rsidRPr="000E7871">
        <w:t xml:space="preserve">The contractor and its personnel shall have adequate experience in </w:t>
      </w:r>
      <w:r w:rsidR="00120DF4">
        <w:t xml:space="preserve">manufacturing of heat exchangers in compliance with the 2014/068 EU directive and </w:t>
      </w:r>
      <w:r w:rsidR="00120DF4" w:rsidRPr="00CF283A">
        <w:t>American Society of Mechanical Engineers (ASME) Boiler and Pressure Vessel Code (B&amp;PV) Section VIII, Division 2</w:t>
      </w:r>
      <w:r w:rsidR="00120DF4" w:rsidRPr="00744B11">
        <w:t xml:space="preserve">—2015 Edition </w:t>
      </w:r>
      <w:r w:rsidR="00120DF4">
        <w:t>or equivalent codes.</w:t>
      </w:r>
    </w:p>
    <w:p w:rsidR="00576E51" w:rsidRDefault="00576E51" w:rsidP="003B4D7A">
      <w:r>
        <w:t>The contractor shall own a viable license of ASPEN, HTRI or similar design software and show demonstrated experience in heat exchangers design codes such as TEMA, CODAP or equivalent.</w:t>
      </w:r>
    </w:p>
    <w:p w:rsidR="00FA04FC" w:rsidRPr="000E7871" w:rsidRDefault="00FA04FC" w:rsidP="00120DF4">
      <w:pPr>
        <w:autoSpaceDE w:val="0"/>
        <w:autoSpaceDN w:val="0"/>
        <w:adjustRightInd w:val="0"/>
      </w:pPr>
    </w:p>
    <w:p w:rsidR="00FA04FC" w:rsidRPr="000E7871" w:rsidRDefault="00FA04FC" w:rsidP="000E7871">
      <w:pPr>
        <w:autoSpaceDE w:val="0"/>
        <w:autoSpaceDN w:val="0"/>
        <w:adjustRightInd w:val="0"/>
        <w:rPr>
          <w:b/>
        </w:rPr>
      </w:pPr>
      <w:r w:rsidRPr="000E7871">
        <w:rPr>
          <w:b/>
        </w:rPr>
        <w:t>Candidature</w:t>
      </w:r>
    </w:p>
    <w:bookmarkEnd w:id="1"/>
    <w:bookmarkEnd w:id="2"/>
    <w:p w:rsidR="0025140E" w:rsidRPr="000E7871" w:rsidRDefault="0025140E" w:rsidP="003B4D7A">
      <w:r w:rsidRPr="000E7871">
        <w:t xml:space="preserve">Participation is open to all legal persons participating either individually or in a grouping (consortium) which is established in an ITER Member State. </w:t>
      </w:r>
      <w:r w:rsidRPr="000E7871">
        <w:rPr>
          <w:rFonts w:eastAsia="MS Mincho"/>
          <w:iCs/>
          <w:lang w:val="en-US" w:eastAsia="ja-JP"/>
        </w:rPr>
        <w:t xml:space="preserve">A legal person cannot participate individually or as a consortium partner in more than one application or tender. </w:t>
      </w:r>
      <w:r w:rsidRPr="000E7871">
        <w:t>A consortium may be a permanent, legally-established grouping or a grouping, which has been constituted informally for a specific tender procedure. All members of a consortium (i.e. the leader and all other members) are jointly and severally liable to the ITER Organization.</w:t>
      </w:r>
    </w:p>
    <w:p w:rsidR="0025140E" w:rsidRPr="000E7871" w:rsidRDefault="0025140E" w:rsidP="003B4D7A">
      <w:r w:rsidRPr="000E7871">
        <w:t>The consortium groupings shall be presented at the pre-qualification stage. The tenderer’s composition cannot be modified without the approval of the ITER Organization after the pre-qualification.</w:t>
      </w:r>
    </w:p>
    <w:p w:rsidR="003E16E9" w:rsidRDefault="0025140E" w:rsidP="000E7871">
      <w:r w:rsidRPr="000E7871">
        <w:t>Legal entities belonging to the same legal grouping are allowed to participate separately if they are able to demonstrate independent technical and financial capacities. Candidates (individual or consortium) must comply with the selection criteria. The IO reserves the right to disregard duplicated reference projects and may exclude such legal entities from the pre-qualification procedure.</w:t>
      </w:r>
      <w:r w:rsidR="00E84719">
        <w:rPr>
          <w:noProof/>
        </w:rPr>
        <mc:AlternateContent>
          <mc:Choice Requires="wps">
            <w:drawing>
              <wp:anchor distT="0" distB="0" distL="114300" distR="114300" simplePos="0" relativeHeight="251659264" behindDoc="0" locked="0" layoutInCell="1" allowOverlap="1" wp14:anchorId="481F7122" wp14:editId="7943FF43">
                <wp:simplePos x="0" y="0"/>
                <wp:positionH relativeFrom="column">
                  <wp:posOffset>-2646680</wp:posOffset>
                </wp:positionH>
                <wp:positionV relativeFrom="paragraph">
                  <wp:posOffset>3266440</wp:posOffset>
                </wp:positionV>
                <wp:extent cx="2581275" cy="1026160"/>
                <wp:effectExtent l="1270" t="0" r="0" b="3175"/>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1026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4FC" w:rsidRDefault="00FA04FC" w:rsidP="00FA04F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1F7122" id="Text Box 7" o:spid="_x0000_s1027" type="#_x0000_t202" style="position:absolute;left:0;text-align:left;margin-left:-208.4pt;margin-top:257.2pt;width:203.25pt;height:8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DSbhQIAABc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" stroked="f">
                <v:textbox>
                  <w:txbxContent>
                    <w:p w:rsidR="00FA04FC" w:rsidRDefault="00FA04FC" w:rsidP="00FA04FC"/>
                  </w:txbxContent>
                </v:textbox>
              </v:shape>
            </w:pict>
          </mc:Fallback>
        </mc:AlternateContent>
      </w:r>
      <w:r w:rsidR="00E84719">
        <w:rPr>
          <w:noProof/>
        </w:rPr>
        <mc:AlternateContent>
          <mc:Choice Requires="wps">
            <w:drawing>
              <wp:anchor distT="0" distB="0" distL="114300" distR="114300" simplePos="0" relativeHeight="251658240" behindDoc="0" locked="0" layoutInCell="1" allowOverlap="1" wp14:anchorId="40A4AC58" wp14:editId="08748151">
                <wp:simplePos x="0" y="0"/>
                <wp:positionH relativeFrom="column">
                  <wp:posOffset>-7145020</wp:posOffset>
                </wp:positionH>
                <wp:positionV relativeFrom="paragraph">
                  <wp:posOffset>3241040</wp:posOffset>
                </wp:positionV>
                <wp:extent cx="3978275" cy="1223645"/>
                <wp:effectExtent l="0" t="2540" r="4445" b="254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8275" cy="12236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4FC" w:rsidRPr="00457B92" w:rsidRDefault="00FA04FC" w:rsidP="00457B9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A4AC58" id="Text Box 6" o:spid="_x0000_s1028" type="#_x0000_t202" style="position:absolute;left:0;text-align:left;margin-left:-562.6pt;margin-top:255.2pt;width:313.25pt;height:96.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" stroked="f">
                <v:textbox>
                  <w:txbxContent>
                    <w:p w:rsidR="00FA04FC" w:rsidRPr="00457B92" w:rsidRDefault="00FA04FC" w:rsidP="00457B92"/>
                  </w:txbxContent>
                </v:textbox>
              </v:shape>
            </w:pict>
          </mc:Fallback>
        </mc:AlternateContent>
      </w:r>
      <w:r w:rsidR="00E84719">
        <w:rPr>
          <w:noProof/>
        </w:rPr>
        <mc:AlternateContent>
          <mc:Choice Requires="wps">
            <w:drawing>
              <wp:anchor distT="0" distB="0" distL="114300" distR="114300" simplePos="0" relativeHeight="251657216" behindDoc="0" locked="0" layoutInCell="1" allowOverlap="1" wp14:anchorId="7891AFA1" wp14:editId="080B9DF7">
                <wp:simplePos x="0" y="0"/>
                <wp:positionH relativeFrom="column">
                  <wp:posOffset>-4792345</wp:posOffset>
                </wp:positionH>
                <wp:positionV relativeFrom="paragraph">
                  <wp:posOffset>2950210</wp:posOffset>
                </wp:positionV>
                <wp:extent cx="635" cy="635"/>
                <wp:effectExtent l="0" t="0" r="635" b="190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 cy="6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4FC" w:rsidRPr="00457B92" w:rsidRDefault="00FA04FC" w:rsidP="00457B92">
                            <w:pPr>
                              <w:rPr>
                                <w:szCs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91AFA1" id="Text Box 5" o:spid="_x0000_s1029" type="#_x0000_t202" style="position:absolute;left:0;text-align:left;margin-left:-377.35pt;margin-top:232.3pt;width:.05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" stroked="f">
                <v:textbox>
                  <w:txbxContent>
                    <w:p w:rsidR="00FA04FC" w:rsidRPr="00457B92" w:rsidRDefault="00FA04FC" w:rsidP="00457B92">
                      <w:pPr>
                        <w:rPr>
                          <w:szCs w:val="26"/>
                        </w:rPr>
                      </w:pPr>
                    </w:p>
                  </w:txbxContent>
                </v:textbox>
              </v:shape>
            </w:pict>
          </mc:Fallback>
        </mc:AlternateContent>
      </w:r>
    </w:p>
    <w:sectPr w:rsidR="003E16E9" w:rsidSect="00FA04FC">
      <w:pgSz w:w="11906" w:h="16838"/>
      <w:pgMar w:top="1440" w:right="1416" w:bottom="144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0F39" w:rsidRDefault="00400F39" w:rsidP="00FE1EC6">
      <w:pPr>
        <w:spacing w:after="0"/>
      </w:pPr>
      <w:r>
        <w:separator/>
      </w:r>
    </w:p>
  </w:endnote>
  <w:endnote w:type="continuationSeparator" w:id="0">
    <w:p w:rsidR="00400F39" w:rsidRDefault="00400F39" w:rsidP="00FE1EC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Arial Unicode MS"/>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0F39" w:rsidRDefault="00400F39" w:rsidP="00FE1EC6">
      <w:pPr>
        <w:spacing w:after="0"/>
      </w:pPr>
      <w:r>
        <w:separator/>
      </w:r>
    </w:p>
  </w:footnote>
  <w:footnote w:type="continuationSeparator" w:id="0">
    <w:p w:rsidR="00400F39" w:rsidRDefault="00400F39" w:rsidP="00FE1EC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722EE3D0"/>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14CC18FC"/>
    <w:multiLevelType w:val="multilevel"/>
    <w:tmpl w:val="7F4E52E4"/>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ascii="Times New Roman" w:hAnsi="Times New Roman" w:hint="default"/>
        <w:b w:val="0"/>
        <w:i/>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30F13754"/>
    <w:multiLevelType w:val="hybridMultilevel"/>
    <w:tmpl w:val="64CEB62C"/>
    <w:lvl w:ilvl="0" w:tplc="382427E8">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76"/>
        </w:tabs>
        <w:ind w:left="76" w:hanging="360"/>
      </w:pPr>
      <w:rPr>
        <w:rFonts w:ascii="Courier New" w:hAnsi="Courier New" w:cs="Courier New" w:hint="default"/>
      </w:rPr>
    </w:lvl>
    <w:lvl w:ilvl="2" w:tplc="08090005" w:tentative="1">
      <w:start w:val="1"/>
      <w:numFmt w:val="bullet"/>
      <w:lvlText w:val=""/>
      <w:lvlJc w:val="left"/>
      <w:pPr>
        <w:tabs>
          <w:tab w:val="num" w:pos="796"/>
        </w:tabs>
        <w:ind w:left="796" w:hanging="360"/>
      </w:pPr>
      <w:rPr>
        <w:rFonts w:ascii="Wingdings" w:hAnsi="Wingdings" w:hint="default"/>
      </w:rPr>
    </w:lvl>
    <w:lvl w:ilvl="3" w:tplc="08090001" w:tentative="1">
      <w:start w:val="1"/>
      <w:numFmt w:val="bullet"/>
      <w:lvlText w:val=""/>
      <w:lvlJc w:val="left"/>
      <w:pPr>
        <w:tabs>
          <w:tab w:val="num" w:pos="1516"/>
        </w:tabs>
        <w:ind w:left="1516" w:hanging="360"/>
      </w:pPr>
      <w:rPr>
        <w:rFonts w:ascii="Symbol" w:hAnsi="Symbol" w:hint="default"/>
      </w:rPr>
    </w:lvl>
    <w:lvl w:ilvl="4" w:tplc="08090003" w:tentative="1">
      <w:start w:val="1"/>
      <w:numFmt w:val="bullet"/>
      <w:lvlText w:val="o"/>
      <w:lvlJc w:val="left"/>
      <w:pPr>
        <w:tabs>
          <w:tab w:val="num" w:pos="2236"/>
        </w:tabs>
        <w:ind w:left="2236" w:hanging="360"/>
      </w:pPr>
      <w:rPr>
        <w:rFonts w:ascii="Courier New" w:hAnsi="Courier New" w:cs="Courier New" w:hint="default"/>
      </w:rPr>
    </w:lvl>
    <w:lvl w:ilvl="5" w:tplc="08090005" w:tentative="1">
      <w:start w:val="1"/>
      <w:numFmt w:val="bullet"/>
      <w:lvlText w:val=""/>
      <w:lvlJc w:val="left"/>
      <w:pPr>
        <w:tabs>
          <w:tab w:val="num" w:pos="2956"/>
        </w:tabs>
        <w:ind w:left="2956" w:hanging="360"/>
      </w:pPr>
      <w:rPr>
        <w:rFonts w:ascii="Wingdings" w:hAnsi="Wingdings" w:hint="default"/>
      </w:rPr>
    </w:lvl>
    <w:lvl w:ilvl="6" w:tplc="08090001" w:tentative="1">
      <w:start w:val="1"/>
      <w:numFmt w:val="bullet"/>
      <w:lvlText w:val=""/>
      <w:lvlJc w:val="left"/>
      <w:pPr>
        <w:tabs>
          <w:tab w:val="num" w:pos="3676"/>
        </w:tabs>
        <w:ind w:left="3676" w:hanging="360"/>
      </w:pPr>
      <w:rPr>
        <w:rFonts w:ascii="Symbol" w:hAnsi="Symbol" w:hint="default"/>
      </w:rPr>
    </w:lvl>
    <w:lvl w:ilvl="7" w:tplc="08090003" w:tentative="1">
      <w:start w:val="1"/>
      <w:numFmt w:val="bullet"/>
      <w:lvlText w:val="o"/>
      <w:lvlJc w:val="left"/>
      <w:pPr>
        <w:tabs>
          <w:tab w:val="num" w:pos="4396"/>
        </w:tabs>
        <w:ind w:left="4396" w:hanging="360"/>
      </w:pPr>
      <w:rPr>
        <w:rFonts w:ascii="Courier New" w:hAnsi="Courier New" w:cs="Courier New" w:hint="default"/>
      </w:rPr>
    </w:lvl>
    <w:lvl w:ilvl="8" w:tplc="08090005" w:tentative="1">
      <w:start w:val="1"/>
      <w:numFmt w:val="bullet"/>
      <w:lvlText w:val=""/>
      <w:lvlJc w:val="left"/>
      <w:pPr>
        <w:tabs>
          <w:tab w:val="num" w:pos="5116"/>
        </w:tabs>
        <w:ind w:left="5116" w:hanging="360"/>
      </w:pPr>
      <w:rPr>
        <w:rFonts w:ascii="Wingdings" w:hAnsi="Wingdings" w:hint="default"/>
      </w:rPr>
    </w:lvl>
  </w:abstractNum>
  <w:abstractNum w:abstractNumId="3" w15:restartNumberingAfterBreak="0">
    <w:nsid w:val="35B34666"/>
    <w:multiLevelType w:val="hybridMultilevel"/>
    <w:tmpl w:val="CF0472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5484BE0"/>
    <w:multiLevelType w:val="hybridMultilevel"/>
    <w:tmpl w:val="2C48485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0"/>
  </w:num>
  <w:num w:numId="6">
    <w:abstractNumId w:val="2"/>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4FC"/>
    <w:rsid w:val="00060902"/>
    <w:rsid w:val="000649F2"/>
    <w:rsid w:val="00095CBC"/>
    <w:rsid w:val="000D5A53"/>
    <w:rsid w:val="000E7871"/>
    <w:rsid w:val="00120DF4"/>
    <w:rsid w:val="002468EB"/>
    <w:rsid w:val="0025140E"/>
    <w:rsid w:val="002679A2"/>
    <w:rsid w:val="003B4D7A"/>
    <w:rsid w:val="003E16E9"/>
    <w:rsid w:val="00400F39"/>
    <w:rsid w:val="00442F8C"/>
    <w:rsid w:val="004461CF"/>
    <w:rsid w:val="00457B92"/>
    <w:rsid w:val="00576E51"/>
    <w:rsid w:val="0059748E"/>
    <w:rsid w:val="005D6E76"/>
    <w:rsid w:val="005E4E5D"/>
    <w:rsid w:val="005E646B"/>
    <w:rsid w:val="005F1D52"/>
    <w:rsid w:val="005F4CBE"/>
    <w:rsid w:val="007146D6"/>
    <w:rsid w:val="007E537E"/>
    <w:rsid w:val="00821D88"/>
    <w:rsid w:val="00874DF5"/>
    <w:rsid w:val="00913659"/>
    <w:rsid w:val="0093384D"/>
    <w:rsid w:val="00942A95"/>
    <w:rsid w:val="009C7832"/>
    <w:rsid w:val="00A07AE9"/>
    <w:rsid w:val="00AF719F"/>
    <w:rsid w:val="00B448B6"/>
    <w:rsid w:val="00B56D4D"/>
    <w:rsid w:val="00BD793F"/>
    <w:rsid w:val="00BE220E"/>
    <w:rsid w:val="00CA7816"/>
    <w:rsid w:val="00CC42D9"/>
    <w:rsid w:val="00CE0027"/>
    <w:rsid w:val="00CF1825"/>
    <w:rsid w:val="00D033D5"/>
    <w:rsid w:val="00DC2FE5"/>
    <w:rsid w:val="00E3753D"/>
    <w:rsid w:val="00E84719"/>
    <w:rsid w:val="00EF0E77"/>
    <w:rsid w:val="00F80EC1"/>
    <w:rsid w:val="00F95B25"/>
    <w:rsid w:val="00F964CD"/>
    <w:rsid w:val="00FA04FC"/>
    <w:rsid w:val="00FE1E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E732E5"/>
  <w15:docId w15:val="{3B6B0318-9DEC-47DD-A46F-C617F9A52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79A2"/>
    <w:pPr>
      <w:spacing w:after="120"/>
      <w:jc w:val="both"/>
    </w:pPr>
    <w:rPr>
      <w:sz w:val="24"/>
      <w:szCs w:val="24"/>
    </w:rPr>
  </w:style>
  <w:style w:type="paragraph" w:styleId="Heading1">
    <w:name w:val="heading 1"/>
    <w:aliases w:val="1"/>
    <w:basedOn w:val="Normal"/>
    <w:next w:val="Normal"/>
    <w:qFormat/>
    <w:rsid w:val="005E4E5D"/>
    <w:pPr>
      <w:keepNext/>
      <w:keepLines/>
      <w:numPr>
        <w:numId w:val="4"/>
      </w:numPr>
      <w:tabs>
        <w:tab w:val="left" w:pos="1389"/>
      </w:tabs>
      <w:spacing w:before="580"/>
      <w:outlineLvl w:val="0"/>
    </w:pPr>
    <w:rPr>
      <w:rFonts w:eastAsia="平成明朝"/>
      <w:b/>
      <w:sz w:val="36"/>
      <w:szCs w:val="20"/>
      <w:lang w:eastAsia="en-US"/>
    </w:rPr>
  </w:style>
  <w:style w:type="paragraph" w:styleId="Heading2">
    <w:name w:val="heading 2"/>
    <w:aliases w:val="2,h2,2Level"/>
    <w:basedOn w:val="Normal"/>
    <w:next w:val="Normal"/>
    <w:qFormat/>
    <w:rsid w:val="005E4E5D"/>
    <w:pPr>
      <w:keepNext/>
      <w:keepLines/>
      <w:numPr>
        <w:ilvl w:val="1"/>
        <w:numId w:val="4"/>
      </w:numPr>
      <w:tabs>
        <w:tab w:val="left" w:pos="1440"/>
      </w:tabs>
      <w:spacing w:before="380"/>
      <w:outlineLvl w:val="1"/>
    </w:pPr>
    <w:rPr>
      <w:rFonts w:eastAsia="平成明朝"/>
      <w:b/>
      <w:sz w:val="32"/>
      <w:szCs w:val="20"/>
      <w:lang w:eastAsia="en-US"/>
    </w:rPr>
  </w:style>
  <w:style w:type="paragraph" w:styleId="Heading3">
    <w:name w:val="heading 3"/>
    <w:aliases w:val="3,h3"/>
    <w:basedOn w:val="Normal"/>
    <w:next w:val="Normal"/>
    <w:qFormat/>
    <w:rsid w:val="005E4E5D"/>
    <w:pPr>
      <w:keepNext/>
      <w:keepLines/>
      <w:numPr>
        <w:ilvl w:val="2"/>
        <w:numId w:val="4"/>
      </w:numPr>
      <w:tabs>
        <w:tab w:val="left" w:pos="1440"/>
      </w:tabs>
      <w:spacing w:before="180"/>
      <w:outlineLvl w:val="2"/>
    </w:pPr>
    <w:rPr>
      <w:rFonts w:eastAsia="平成明朝"/>
      <w:b/>
      <w:i/>
      <w:iCs/>
      <w:sz w:val="28"/>
      <w:szCs w:val="20"/>
      <w:lang w:eastAsia="en-US"/>
    </w:rPr>
  </w:style>
  <w:style w:type="paragraph" w:styleId="Heading4">
    <w:name w:val="heading 4"/>
    <w:aliases w:val="4,h4"/>
    <w:basedOn w:val="Normal"/>
    <w:next w:val="Normal"/>
    <w:qFormat/>
    <w:rsid w:val="005D6E76"/>
    <w:pPr>
      <w:keepNext/>
      <w:keepLines/>
      <w:numPr>
        <w:ilvl w:val="3"/>
        <w:numId w:val="4"/>
      </w:numPr>
      <w:tabs>
        <w:tab w:val="left" w:pos="1440"/>
      </w:tabs>
      <w:spacing w:before="140"/>
      <w:outlineLvl w:val="3"/>
    </w:pPr>
    <w:rPr>
      <w:rFonts w:eastAsia="平成明朝"/>
      <w:b/>
      <w:bCs/>
      <w:i/>
      <w:szCs w:val="20"/>
      <w:lang w:eastAsia="en-US"/>
    </w:rPr>
  </w:style>
  <w:style w:type="paragraph" w:styleId="Heading5">
    <w:name w:val="heading 5"/>
    <w:aliases w:val="5"/>
    <w:basedOn w:val="Normal"/>
    <w:next w:val="Normal"/>
    <w:qFormat/>
    <w:rsid w:val="00FA04FC"/>
    <w:pPr>
      <w:tabs>
        <w:tab w:val="num" w:pos="1008"/>
      </w:tabs>
      <w:spacing w:before="100" w:after="240"/>
      <w:ind w:left="1008" w:hanging="1008"/>
      <w:outlineLvl w:val="4"/>
    </w:pPr>
    <w:rPr>
      <w:rFonts w:ascii="Arial" w:eastAsia="平成明朝" w:hAnsi="Arial"/>
      <w:i/>
      <w:szCs w:val="20"/>
      <w:lang w:eastAsia="en-US"/>
    </w:rPr>
  </w:style>
  <w:style w:type="paragraph" w:styleId="Heading6">
    <w:name w:val="heading 6"/>
    <w:basedOn w:val="Normal"/>
    <w:next w:val="Normal"/>
    <w:qFormat/>
    <w:rsid w:val="00FA04FC"/>
    <w:pPr>
      <w:keepNext/>
      <w:tabs>
        <w:tab w:val="num" w:pos="1152"/>
      </w:tabs>
      <w:spacing w:before="100"/>
      <w:ind w:left="1152" w:hanging="1152"/>
      <w:jc w:val="center"/>
      <w:outlineLvl w:val="5"/>
    </w:pPr>
    <w:rPr>
      <w:rFonts w:ascii="Arial" w:eastAsia="平成明朝" w:hAnsi="Arial"/>
      <w:b/>
      <w:szCs w:val="20"/>
      <w:lang w:val="en-US" w:eastAsia="en-US"/>
    </w:rPr>
  </w:style>
  <w:style w:type="paragraph" w:styleId="Heading7">
    <w:name w:val="heading 7"/>
    <w:basedOn w:val="Normal"/>
    <w:next w:val="Normal"/>
    <w:qFormat/>
    <w:rsid w:val="00FA04FC"/>
    <w:pPr>
      <w:tabs>
        <w:tab w:val="num" w:pos="1296"/>
        <w:tab w:val="left" w:pos="8640"/>
        <w:tab w:val="left" w:pos="9504"/>
        <w:tab w:val="left" w:pos="10368"/>
        <w:tab w:val="left" w:pos="11232"/>
        <w:tab w:val="left" w:pos="12096"/>
        <w:tab w:val="left" w:pos="12960"/>
      </w:tabs>
      <w:spacing w:before="240" w:after="60"/>
      <w:ind w:left="1296" w:hanging="1296"/>
      <w:outlineLvl w:val="6"/>
    </w:pPr>
    <w:rPr>
      <w:rFonts w:ascii="Helvetica" w:hAnsi="Helvetica"/>
      <w:sz w:val="20"/>
      <w:szCs w:val="20"/>
      <w:lang w:val="en-US" w:eastAsia="en-US"/>
    </w:rPr>
  </w:style>
  <w:style w:type="paragraph" w:styleId="Heading8">
    <w:name w:val="heading 8"/>
    <w:aliases w:val="8"/>
    <w:basedOn w:val="Normal"/>
    <w:next w:val="Normal"/>
    <w:qFormat/>
    <w:rsid w:val="00FA04FC"/>
    <w:pPr>
      <w:tabs>
        <w:tab w:val="num" w:pos="1440"/>
        <w:tab w:val="left" w:pos="8640"/>
        <w:tab w:val="left" w:pos="9504"/>
        <w:tab w:val="left" w:pos="10368"/>
        <w:tab w:val="left" w:pos="11232"/>
        <w:tab w:val="left" w:pos="12096"/>
        <w:tab w:val="left" w:pos="12960"/>
      </w:tabs>
      <w:spacing w:before="240" w:after="60"/>
      <w:ind w:left="1440" w:hanging="1440"/>
      <w:outlineLvl w:val="7"/>
    </w:pPr>
    <w:rPr>
      <w:rFonts w:ascii="Helvetica" w:hAnsi="Helvetica"/>
      <w:i/>
      <w:sz w:val="20"/>
      <w:szCs w:val="20"/>
      <w:lang w:val="en-US" w:eastAsia="en-US"/>
    </w:rPr>
  </w:style>
  <w:style w:type="paragraph" w:styleId="Heading9">
    <w:name w:val="heading 9"/>
    <w:basedOn w:val="Normal"/>
    <w:next w:val="Normal"/>
    <w:qFormat/>
    <w:rsid w:val="00FA04FC"/>
    <w:pPr>
      <w:tabs>
        <w:tab w:val="num" w:pos="1584"/>
        <w:tab w:val="left" w:pos="8640"/>
        <w:tab w:val="left" w:pos="9504"/>
        <w:tab w:val="left" w:pos="10368"/>
        <w:tab w:val="left" w:pos="11232"/>
        <w:tab w:val="left" w:pos="12096"/>
        <w:tab w:val="left" w:pos="12960"/>
      </w:tabs>
      <w:spacing w:before="240" w:after="60"/>
      <w:ind w:left="1584" w:hanging="1584"/>
      <w:outlineLvl w:val="8"/>
    </w:pPr>
    <w:rPr>
      <w:rFonts w:ascii="Helvetica" w:hAnsi="Helvetica"/>
      <w:i/>
      <w:sz w:val="18"/>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
    <w:name w:val="Heading 0"/>
    <w:basedOn w:val="Normal"/>
    <w:rsid w:val="005E4E5D"/>
    <w:pPr>
      <w:spacing w:before="100"/>
      <w:jc w:val="center"/>
    </w:pPr>
    <w:rPr>
      <w:rFonts w:eastAsia="平成明朝" w:cs="Arial"/>
      <w:b/>
      <w:sz w:val="44"/>
      <w:szCs w:val="20"/>
      <w:lang w:eastAsia="en-US"/>
    </w:rPr>
  </w:style>
  <w:style w:type="paragraph" w:styleId="CommentText">
    <w:name w:val="annotation text"/>
    <w:basedOn w:val="Normal"/>
    <w:semiHidden/>
    <w:rsid w:val="00FA04FC"/>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00"/>
    </w:pPr>
    <w:rPr>
      <w:rFonts w:ascii="Arial" w:eastAsia="Times" w:hAnsi="Arial"/>
      <w:sz w:val="20"/>
      <w:szCs w:val="20"/>
      <w:lang w:eastAsia="en-US"/>
    </w:rPr>
  </w:style>
  <w:style w:type="paragraph" w:styleId="ListBullet2">
    <w:name w:val="List Bullet 2"/>
    <w:basedOn w:val="Normal"/>
    <w:rsid w:val="00FA04FC"/>
    <w:pPr>
      <w:numPr>
        <w:numId w:val="5"/>
      </w:numPr>
    </w:pPr>
    <w:rPr>
      <w:rFonts w:eastAsia="MS Mincho"/>
      <w:lang w:eastAsia="ja-JP"/>
    </w:rPr>
  </w:style>
  <w:style w:type="paragraph" w:styleId="BodyText2">
    <w:name w:val="Body Text 2"/>
    <w:basedOn w:val="Normal"/>
    <w:rsid w:val="00FA04FC"/>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szCs w:val="20"/>
      <w:lang w:eastAsia="en-US"/>
    </w:rPr>
  </w:style>
  <w:style w:type="paragraph" w:customStyle="1" w:styleId="mainbody1">
    <w:name w:val="main body 1"/>
    <w:basedOn w:val="Normal"/>
    <w:uiPriority w:val="99"/>
    <w:rsid w:val="0025140E"/>
    <w:pPr>
      <w:spacing w:before="240" w:after="240"/>
    </w:pPr>
    <w:rPr>
      <w:rFonts w:eastAsia="SimSun"/>
      <w:lang w:eastAsia="en-US"/>
    </w:rPr>
  </w:style>
  <w:style w:type="paragraph" w:styleId="BalloonText">
    <w:name w:val="Balloon Text"/>
    <w:basedOn w:val="Normal"/>
    <w:link w:val="BalloonTextChar"/>
    <w:rsid w:val="004461CF"/>
    <w:rPr>
      <w:rFonts w:ascii="Tahoma" w:hAnsi="Tahoma" w:cs="Tahoma"/>
      <w:sz w:val="16"/>
      <w:szCs w:val="16"/>
    </w:rPr>
  </w:style>
  <w:style w:type="character" w:customStyle="1" w:styleId="BalloonTextChar">
    <w:name w:val="Balloon Text Char"/>
    <w:basedOn w:val="DefaultParagraphFont"/>
    <w:link w:val="BalloonText"/>
    <w:rsid w:val="004461CF"/>
    <w:rPr>
      <w:rFonts w:ascii="Tahoma" w:hAnsi="Tahoma" w:cs="Tahoma"/>
      <w:sz w:val="16"/>
      <w:szCs w:val="16"/>
    </w:rPr>
  </w:style>
  <w:style w:type="table" w:styleId="TableGrid">
    <w:name w:val="Table Grid"/>
    <w:basedOn w:val="TableNormal"/>
    <w:rsid w:val="004461CF"/>
    <w:pPr>
      <w:spacing w:before="100" w:beforeAutospacing="1" w:after="100" w:afterAutospacing="1"/>
      <w:jc w:val="both"/>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FE1EC6"/>
    <w:pPr>
      <w:tabs>
        <w:tab w:val="center" w:pos="4513"/>
        <w:tab w:val="right" w:pos="9026"/>
      </w:tabs>
    </w:pPr>
  </w:style>
  <w:style w:type="character" w:customStyle="1" w:styleId="HeaderChar">
    <w:name w:val="Header Char"/>
    <w:basedOn w:val="DefaultParagraphFont"/>
    <w:link w:val="Header"/>
    <w:rsid w:val="00FE1EC6"/>
    <w:rPr>
      <w:sz w:val="24"/>
      <w:szCs w:val="24"/>
    </w:rPr>
  </w:style>
  <w:style w:type="paragraph" w:styleId="Footer">
    <w:name w:val="footer"/>
    <w:basedOn w:val="Normal"/>
    <w:link w:val="FooterChar"/>
    <w:rsid w:val="00FE1EC6"/>
    <w:pPr>
      <w:tabs>
        <w:tab w:val="center" w:pos="4513"/>
        <w:tab w:val="right" w:pos="9026"/>
      </w:tabs>
    </w:pPr>
  </w:style>
  <w:style w:type="character" w:customStyle="1" w:styleId="FooterChar">
    <w:name w:val="Footer Char"/>
    <w:basedOn w:val="DefaultParagraphFont"/>
    <w:link w:val="Footer"/>
    <w:rsid w:val="00FE1EC6"/>
    <w:rPr>
      <w:sz w:val="24"/>
      <w:szCs w:val="24"/>
    </w:rPr>
  </w:style>
  <w:style w:type="paragraph" w:styleId="ListParagraph">
    <w:name w:val="List Paragraph"/>
    <w:basedOn w:val="Normal"/>
    <w:uiPriority w:val="34"/>
    <w:qFormat/>
    <w:rsid w:val="00576E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C3F145-98BC-4BD4-B092-D5CCB938B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999</Words>
  <Characters>5501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ITER</dc:creator>
  <cp:lastModifiedBy>Pilla Jessica</cp:lastModifiedBy>
  <cp:revision>3</cp:revision>
  <dcterms:created xsi:type="dcterms:W3CDTF">2019-05-20T09:17:00Z</dcterms:created>
  <dcterms:modified xsi:type="dcterms:W3CDTF">2019-05-20T09:19:00Z</dcterms:modified>
</cp:coreProperties>
</file>