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F2C" w:rsidRDefault="00104F2C" w:rsidP="00104F2C">
      <w:pPr>
        <w:pStyle w:val="Annexetitle"/>
      </w:pPr>
    </w:p>
    <w:tbl>
      <w:tblPr>
        <w:tblpPr w:leftFromText="180" w:rightFromText="180" w:vertAnchor="page" w:horzAnchor="margin" w:tblpXSpec="center" w:tblpY="15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2C75F5" w:rsidRPr="00155605" w:rsidTr="002C75F5">
        <w:trPr>
          <w:trHeight w:val="517"/>
        </w:trPr>
        <w:tc>
          <w:tcPr>
            <w:tcW w:w="9004" w:type="dxa"/>
            <w:vAlign w:val="center"/>
          </w:tcPr>
          <w:p w:rsidR="002C75F5" w:rsidRPr="00D570F2" w:rsidRDefault="002C75F5" w:rsidP="002C75F5">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IO/17/CFE/14129/JTR</w:t>
            </w:r>
          </w:p>
        </w:tc>
      </w:tr>
    </w:tbl>
    <w:p w:rsidR="00A556EB" w:rsidRDefault="00A556EB"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17E3D" w:rsidP="00DB00C5">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47" w:type="dxa"/>
        <w:tblCellMar>
          <w:left w:w="0" w:type="dxa"/>
          <w:right w:w="0" w:type="dxa"/>
        </w:tblCellMar>
        <w:tblLook w:val="04A0" w:firstRow="1" w:lastRow="0" w:firstColumn="1" w:lastColumn="0" w:noHBand="0" w:noVBand="1"/>
      </w:tblPr>
      <w:tblGrid>
        <w:gridCol w:w="674"/>
        <w:gridCol w:w="6518"/>
        <w:gridCol w:w="1134"/>
        <w:gridCol w:w="1421"/>
      </w:tblGrid>
      <w:tr w:rsidR="00D844DE" w:rsidRPr="00D844DE" w:rsidTr="005E11F5">
        <w:trPr>
          <w:trHeight w:val="321"/>
        </w:trPr>
        <w:tc>
          <w:tcPr>
            <w:tcW w:w="675" w:type="dxa"/>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D844DE" w:rsidRPr="00D844DE" w:rsidRDefault="00D844DE" w:rsidP="00D844DE">
            <w:pPr>
              <w:spacing w:before="100" w:beforeAutospacing="1" w:after="100" w:afterAutospacing="1"/>
              <w:jc w:val="center"/>
              <w:rPr>
                <w:rFonts w:eastAsia="Calibri"/>
                <w:b/>
                <w:szCs w:val="24"/>
                <w:lang w:eastAsia="en-US"/>
              </w:rPr>
            </w:pPr>
            <w:r w:rsidRPr="00D844DE">
              <w:rPr>
                <w:rFonts w:eastAsia="Calibri"/>
                <w:b/>
                <w:szCs w:val="24"/>
                <w:lang w:eastAsia="en-US"/>
              </w:rPr>
              <w:t>D#</w:t>
            </w:r>
          </w:p>
        </w:tc>
        <w:tc>
          <w:tcPr>
            <w:tcW w:w="6521" w:type="dxa"/>
            <w:tcBorders>
              <w:top w:val="single" w:sz="8" w:space="0" w:color="auto"/>
              <w:left w:val="single" w:sz="4" w:space="0" w:color="auto"/>
              <w:bottom w:val="single" w:sz="8" w:space="0" w:color="auto"/>
              <w:right w:val="single" w:sz="8" w:space="0" w:color="auto"/>
            </w:tcBorders>
            <w:shd w:val="clear" w:color="auto" w:fill="FFFFFF"/>
          </w:tcPr>
          <w:p w:rsidR="00D844DE" w:rsidRPr="00D844DE" w:rsidRDefault="00D844DE" w:rsidP="00D844DE">
            <w:pPr>
              <w:spacing w:before="100" w:beforeAutospacing="1" w:after="100" w:afterAutospacing="1"/>
              <w:jc w:val="center"/>
              <w:rPr>
                <w:rFonts w:ascii="Calibri" w:eastAsia="Calibri" w:hAnsi="Calibri"/>
                <w:b/>
                <w:szCs w:val="24"/>
                <w:lang w:eastAsia="en-US"/>
              </w:rPr>
            </w:pPr>
            <w:r w:rsidRPr="00D844DE">
              <w:rPr>
                <w:rFonts w:eastAsia="平成明朝"/>
                <w:b/>
                <w:szCs w:val="24"/>
                <w:lang w:val="en-US" w:eastAsia="en-US"/>
              </w:rPr>
              <w:t>Deliverable</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844DE" w:rsidRPr="00D844DE" w:rsidRDefault="00D844DE" w:rsidP="00D844DE">
            <w:pPr>
              <w:spacing w:before="100" w:beforeAutospacing="1" w:after="100" w:afterAutospacing="1"/>
              <w:jc w:val="center"/>
              <w:rPr>
                <w:rFonts w:ascii="Calibri" w:eastAsia="Calibri" w:hAnsi="Calibri"/>
                <w:b/>
                <w:szCs w:val="24"/>
                <w:lang w:eastAsia="en-US"/>
              </w:rPr>
            </w:pPr>
            <w:r>
              <w:rPr>
                <w:rFonts w:eastAsia="平成明朝"/>
                <w:b/>
                <w:szCs w:val="24"/>
                <w:lang w:val="en-US" w:eastAsia="en-US"/>
              </w:rPr>
              <w:t xml:space="preserve">Est </w:t>
            </w:r>
            <w:r w:rsidRPr="00D844DE">
              <w:rPr>
                <w:rFonts w:eastAsia="平成明朝"/>
                <w:b/>
                <w:szCs w:val="24"/>
                <w:lang w:val="en-US" w:eastAsia="en-US"/>
              </w:rPr>
              <w:t>Due date</w:t>
            </w:r>
          </w:p>
        </w:tc>
        <w:tc>
          <w:tcPr>
            <w:tcW w:w="1417" w:type="dxa"/>
            <w:tcBorders>
              <w:top w:val="single" w:sz="8" w:space="0" w:color="auto"/>
              <w:left w:val="nil"/>
              <w:bottom w:val="single" w:sz="8" w:space="0" w:color="auto"/>
              <w:right w:val="single" w:sz="8" w:space="0" w:color="auto"/>
            </w:tcBorders>
            <w:shd w:val="clear" w:color="auto" w:fill="FFFFFF"/>
          </w:tcPr>
          <w:p w:rsidR="00D844DE" w:rsidRDefault="00D844DE" w:rsidP="005E11F5">
            <w:pPr>
              <w:spacing w:before="100" w:beforeAutospacing="1" w:after="100" w:afterAutospacing="1"/>
              <w:jc w:val="center"/>
              <w:rPr>
                <w:rFonts w:eastAsia="平成明朝"/>
                <w:b/>
                <w:szCs w:val="24"/>
                <w:lang w:val="en-US" w:eastAsia="en-US"/>
              </w:rPr>
            </w:pPr>
            <w:r>
              <w:rPr>
                <w:rFonts w:eastAsia="平成明朝"/>
                <w:b/>
                <w:szCs w:val="24"/>
                <w:lang w:val="en-US" w:eastAsia="en-US"/>
              </w:rPr>
              <w:t xml:space="preserve">Price </w:t>
            </w:r>
            <w:r w:rsidR="005E11F5">
              <w:rPr>
                <w:rFonts w:eastAsia="平成明朝"/>
                <w:b/>
                <w:szCs w:val="24"/>
                <w:lang w:val="en-US" w:eastAsia="en-US"/>
              </w:rPr>
              <w:t xml:space="preserve">   </w:t>
            </w:r>
            <w:r>
              <w:rPr>
                <w:rFonts w:eastAsia="平成明朝"/>
                <w:b/>
                <w:szCs w:val="24"/>
                <w:lang w:val="en-US" w:eastAsia="en-US"/>
              </w:rPr>
              <w:t>(EUR)</w:t>
            </w:r>
          </w:p>
        </w:tc>
      </w:tr>
      <w:tr w:rsidR="00B114BE" w:rsidRPr="00D844DE" w:rsidTr="00B114BE">
        <w:trPr>
          <w:trHeight w:val="726"/>
        </w:trPr>
        <w:tc>
          <w:tcPr>
            <w:tcW w:w="675"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rsidR="00B114BE" w:rsidRPr="00D844DE" w:rsidRDefault="00B114BE" w:rsidP="00A556EB">
            <w:pPr>
              <w:shd w:val="clear" w:color="auto" w:fill="FFFFFF"/>
              <w:spacing w:after="0"/>
              <w:jc w:val="center"/>
              <w:rPr>
                <w:rFonts w:eastAsia="平成明朝"/>
                <w:szCs w:val="24"/>
                <w:lang w:eastAsia="en-US"/>
              </w:rPr>
            </w:pPr>
            <w:r w:rsidRPr="00D844DE">
              <w:rPr>
                <w:rFonts w:eastAsia="平成明朝"/>
                <w:szCs w:val="24"/>
                <w:lang w:eastAsia="en-US"/>
              </w:rPr>
              <w:t>D1</w:t>
            </w:r>
          </w:p>
        </w:tc>
        <w:tc>
          <w:tcPr>
            <w:tcW w:w="652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723C78" w:rsidRDefault="00B114BE" w:rsidP="001F56E5">
            <w:pPr>
              <w:spacing w:before="100" w:beforeAutospacing="1" w:after="100" w:afterAutospacing="1"/>
              <w:jc w:val="left"/>
              <w:rPr>
                <w:szCs w:val="24"/>
                <w:lang w:val="en-US"/>
              </w:rPr>
            </w:pPr>
            <w:r w:rsidRPr="003437A8">
              <w:rPr>
                <w:szCs w:val="24"/>
                <w:lang w:val="en-US"/>
              </w:rPr>
              <w:t xml:space="preserve">Prepare and </w:t>
            </w:r>
            <w:r>
              <w:rPr>
                <w:szCs w:val="24"/>
                <w:lang w:val="en-US"/>
              </w:rPr>
              <w:t>support DA design and manufacturing review</w:t>
            </w:r>
            <w:bookmarkStart w:id="0" w:name="_GoBack"/>
            <w:bookmarkEnd w:id="0"/>
            <w:r>
              <w:rPr>
                <w:szCs w:val="24"/>
                <w:lang w:val="en-US"/>
              </w:rPr>
              <w:t xml:space="preserve">/ activities of </w:t>
            </w:r>
            <w:r w:rsidRPr="003437A8">
              <w:rPr>
                <w:szCs w:val="24"/>
                <w:lang w:val="en-US"/>
              </w:rPr>
              <w:t xml:space="preserve">55B4 NFM EQ#7 </w:t>
            </w:r>
            <w:r>
              <w:rPr>
                <w:szCs w:val="24"/>
                <w:lang w:val="en-US"/>
              </w:rPr>
              <w:t>support frame.</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D844DE" w:rsidRDefault="00B114BE" w:rsidP="00B04E3E">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+3 months</w:t>
            </w:r>
          </w:p>
        </w:tc>
        <w:tc>
          <w:tcPr>
            <w:tcW w:w="1417" w:type="dxa"/>
            <w:tcBorders>
              <w:top w:val="nil"/>
              <w:left w:val="nil"/>
              <w:bottom w:val="single" w:sz="8" w:space="0" w:color="auto"/>
              <w:right w:val="single" w:sz="8" w:space="0" w:color="auto"/>
            </w:tcBorders>
            <w:shd w:val="clear" w:color="auto" w:fill="FFFFFF"/>
            <w:vAlign w:val="center"/>
          </w:tcPr>
          <w:p w:rsidR="00B114BE" w:rsidRPr="00D844DE" w:rsidRDefault="00B114BE" w:rsidP="00D844DE">
            <w:pPr>
              <w:spacing w:before="100" w:beforeAutospacing="1" w:after="100" w:afterAutospacing="1"/>
              <w:jc w:val="center"/>
              <w:rPr>
                <w:rFonts w:eastAsia="平成明朝"/>
                <w:szCs w:val="24"/>
                <w:lang w:val="en-US" w:eastAsia="en-US"/>
              </w:rPr>
            </w:pPr>
          </w:p>
        </w:tc>
      </w:tr>
      <w:tr w:rsidR="00B114BE" w:rsidRPr="00D844DE" w:rsidTr="005E11F5">
        <w:trPr>
          <w:trHeight w:val="321"/>
        </w:trPr>
        <w:tc>
          <w:tcPr>
            <w:tcW w:w="6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D844DE" w:rsidRDefault="00B114BE" w:rsidP="00A556EB">
            <w:pPr>
              <w:shd w:val="clear" w:color="auto" w:fill="FFFFFF"/>
              <w:spacing w:after="0"/>
              <w:jc w:val="center"/>
              <w:rPr>
                <w:rFonts w:eastAsia="平成明朝"/>
                <w:szCs w:val="24"/>
                <w:lang w:eastAsia="en-US"/>
              </w:rPr>
            </w:pPr>
            <w:r w:rsidRPr="00D844DE">
              <w:rPr>
                <w:rFonts w:eastAsia="平成明朝"/>
                <w:szCs w:val="24"/>
                <w:lang w:eastAsia="en-US"/>
              </w:rPr>
              <w:t>D2</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114BE" w:rsidRPr="00D844DE" w:rsidRDefault="00B114BE" w:rsidP="00B114BE">
            <w:pPr>
              <w:spacing w:before="120" w:after="120"/>
              <w:rPr>
                <w:rFonts w:eastAsia="平成明朝"/>
                <w:color w:val="000000"/>
                <w:szCs w:val="24"/>
                <w:lang w:eastAsia="en-US"/>
              </w:rPr>
            </w:pPr>
            <w:r w:rsidRPr="00B114BE">
              <w:rPr>
                <w:rFonts w:eastAsia="平成明朝"/>
                <w:color w:val="000000"/>
                <w:szCs w:val="24"/>
                <w:lang w:val="en-US" w:eastAsia="en-US"/>
              </w:rPr>
              <w:t>Prepare and support DA on Preliminary Design Review of</w:t>
            </w:r>
            <w:r>
              <w:rPr>
                <w:rFonts w:eastAsia="平成明朝"/>
                <w:color w:val="000000"/>
                <w:szCs w:val="24"/>
                <w:lang w:val="en-US" w:eastAsia="en-US"/>
              </w:rPr>
              <w:t xml:space="preserve"> </w:t>
            </w:r>
            <w:r w:rsidRPr="00B114BE">
              <w:rPr>
                <w:rFonts w:eastAsia="平成明朝"/>
                <w:color w:val="000000"/>
                <w:szCs w:val="24"/>
                <w:lang w:val="en-US" w:eastAsia="en-US"/>
              </w:rPr>
              <w:t>55B2 VNC in Upper 18</w:t>
            </w:r>
            <w:r>
              <w:rPr>
                <w:rFonts w:eastAsia="平成明朝"/>
                <w:color w:val="000000"/>
                <w:szCs w:val="24"/>
                <w:lang w:val="en-US" w:eastAsia="en-US"/>
              </w:rPr>
              <w:t xml:space="preserve">.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D844DE" w:rsidRDefault="00B114BE" w:rsidP="00B04E3E">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+ 6 months</w:t>
            </w:r>
          </w:p>
        </w:tc>
        <w:tc>
          <w:tcPr>
            <w:tcW w:w="1417" w:type="dxa"/>
            <w:tcBorders>
              <w:top w:val="nil"/>
              <w:left w:val="nil"/>
              <w:bottom w:val="single" w:sz="8" w:space="0" w:color="auto"/>
              <w:right w:val="single" w:sz="8" w:space="0" w:color="auto"/>
            </w:tcBorders>
            <w:shd w:val="clear" w:color="auto" w:fill="FFFFFF"/>
            <w:vAlign w:val="center"/>
          </w:tcPr>
          <w:p w:rsidR="00B114BE" w:rsidRPr="00D844DE" w:rsidRDefault="00B114BE" w:rsidP="00D844DE">
            <w:pPr>
              <w:spacing w:before="100" w:beforeAutospacing="1" w:after="100" w:afterAutospacing="1"/>
              <w:jc w:val="center"/>
              <w:rPr>
                <w:rFonts w:eastAsia="平成明朝"/>
                <w:szCs w:val="24"/>
                <w:lang w:val="en-US" w:eastAsia="en-US"/>
              </w:rPr>
            </w:pPr>
          </w:p>
        </w:tc>
      </w:tr>
      <w:tr w:rsidR="00B114BE" w:rsidRPr="00D844DE" w:rsidTr="00B04E3E">
        <w:trPr>
          <w:trHeight w:val="577"/>
        </w:trPr>
        <w:tc>
          <w:tcPr>
            <w:tcW w:w="6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D844DE" w:rsidRDefault="00B114BE" w:rsidP="00A556EB">
            <w:pPr>
              <w:shd w:val="clear" w:color="auto" w:fill="FFFFFF"/>
              <w:spacing w:after="0"/>
              <w:jc w:val="center"/>
              <w:rPr>
                <w:rFonts w:eastAsia="平成明朝"/>
                <w:szCs w:val="24"/>
                <w:lang w:eastAsia="en-US"/>
              </w:rPr>
            </w:pPr>
            <w:r w:rsidRPr="00D844DE">
              <w:rPr>
                <w:rFonts w:eastAsia="平成明朝"/>
                <w:szCs w:val="24"/>
                <w:lang w:eastAsia="en-US"/>
              </w:rPr>
              <w:t>D3</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114BE" w:rsidRPr="00D844DE" w:rsidRDefault="00B114BE" w:rsidP="005E11F5">
            <w:pPr>
              <w:spacing w:before="120" w:after="120"/>
              <w:rPr>
                <w:rFonts w:eastAsia="平成明朝"/>
                <w:color w:val="000000"/>
                <w:szCs w:val="24"/>
                <w:lang w:eastAsia="en-US"/>
              </w:rPr>
            </w:pPr>
            <w:r w:rsidRPr="00B114BE">
              <w:rPr>
                <w:rFonts w:eastAsia="平成明朝"/>
                <w:color w:val="000000"/>
                <w:szCs w:val="24"/>
                <w:lang w:eastAsia="en-US"/>
              </w:rPr>
              <w:t>Prepare and execute Interfaces Review of 55B4 NFM in EQ#1</w:t>
            </w:r>
            <w:proofErr w:type="gramStart"/>
            <w:r w:rsidRPr="00B114BE">
              <w:rPr>
                <w:rFonts w:eastAsia="平成明朝"/>
                <w:color w:val="000000"/>
                <w:szCs w:val="24"/>
                <w:lang w:eastAsia="en-US"/>
              </w:rPr>
              <w:t>,8</w:t>
            </w:r>
            <w:proofErr w:type="gramEnd"/>
            <w:r w:rsidRPr="00B114BE">
              <w:rPr>
                <w:rFonts w:eastAsia="平成明朝"/>
                <w:color w:val="000000"/>
                <w:szCs w:val="24"/>
                <w:lang w:eastAsia="en-US"/>
              </w:rPr>
              <w:t xml:space="preserve"> and 17.</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114BE" w:rsidRPr="00D844DE" w:rsidRDefault="00B114BE" w:rsidP="00B04E3E">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+ 9 months</w:t>
            </w:r>
          </w:p>
        </w:tc>
        <w:tc>
          <w:tcPr>
            <w:tcW w:w="1417" w:type="dxa"/>
            <w:tcBorders>
              <w:top w:val="nil"/>
              <w:left w:val="nil"/>
              <w:bottom w:val="single" w:sz="8" w:space="0" w:color="auto"/>
              <w:right w:val="single" w:sz="8" w:space="0" w:color="auto"/>
            </w:tcBorders>
            <w:shd w:val="clear" w:color="auto" w:fill="FFFFFF"/>
            <w:vAlign w:val="center"/>
          </w:tcPr>
          <w:p w:rsidR="00B114BE" w:rsidRPr="00D844DE" w:rsidRDefault="00B114BE" w:rsidP="00D844DE">
            <w:pPr>
              <w:spacing w:before="100" w:beforeAutospacing="1" w:after="100" w:afterAutospacing="1"/>
              <w:jc w:val="center"/>
              <w:rPr>
                <w:rFonts w:eastAsia="平成明朝"/>
                <w:szCs w:val="24"/>
                <w:lang w:val="en-US" w:eastAsia="en-US"/>
              </w:rPr>
            </w:pPr>
          </w:p>
        </w:tc>
      </w:tr>
      <w:tr w:rsidR="00D844DE" w:rsidRPr="00D844DE" w:rsidTr="005E11F5">
        <w:trPr>
          <w:trHeight w:val="336"/>
        </w:trPr>
        <w:tc>
          <w:tcPr>
            <w:tcW w:w="67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844DE" w:rsidRPr="00D844DE" w:rsidRDefault="00D844DE" w:rsidP="00A556EB">
            <w:pPr>
              <w:shd w:val="clear" w:color="auto" w:fill="FFFFFF"/>
              <w:spacing w:after="0"/>
              <w:jc w:val="center"/>
              <w:rPr>
                <w:rFonts w:eastAsia="平成明朝"/>
                <w:szCs w:val="24"/>
                <w:lang w:eastAsia="en-US"/>
              </w:rPr>
            </w:pPr>
            <w:r w:rsidRPr="00D844DE">
              <w:rPr>
                <w:rFonts w:eastAsia="平成明朝"/>
                <w:szCs w:val="24"/>
                <w:lang w:eastAsia="en-US"/>
              </w:rPr>
              <w:t>D4</w:t>
            </w:r>
          </w:p>
        </w:tc>
        <w:tc>
          <w:tcPr>
            <w:tcW w:w="6517"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D844DE" w:rsidRPr="00D844DE" w:rsidRDefault="00B114BE" w:rsidP="00C95589">
            <w:pPr>
              <w:spacing w:before="120" w:after="120"/>
              <w:rPr>
                <w:rFonts w:eastAsia="平成明朝"/>
                <w:color w:val="000000"/>
                <w:szCs w:val="24"/>
                <w:lang w:eastAsia="en-US"/>
              </w:rPr>
            </w:pPr>
            <w:r w:rsidRPr="00B114BE">
              <w:rPr>
                <w:rFonts w:eastAsia="平成明朝"/>
                <w:color w:val="000000"/>
                <w:szCs w:val="24"/>
                <w:lang w:val="en-US" w:eastAsia="en-US"/>
              </w:rPr>
              <w:t>Prepare and support DA PDR Review of 55B4 NFM in EQ#1</w:t>
            </w:r>
            <w:proofErr w:type="gramStart"/>
            <w:r w:rsidRPr="00B114BE">
              <w:rPr>
                <w:rFonts w:eastAsia="平成明朝"/>
                <w:color w:val="000000"/>
                <w:szCs w:val="24"/>
                <w:lang w:val="en-US" w:eastAsia="en-US"/>
              </w:rPr>
              <w:t>,8</w:t>
            </w:r>
            <w:proofErr w:type="gramEnd"/>
            <w:r w:rsidRPr="00B114BE">
              <w:rPr>
                <w:rFonts w:eastAsia="平成明朝"/>
                <w:color w:val="000000"/>
                <w:szCs w:val="24"/>
                <w:lang w:val="en-US" w:eastAsia="en-US"/>
              </w:rPr>
              <w:t xml:space="preserve"> and 17</w:t>
            </w:r>
            <w:r>
              <w:rPr>
                <w:rFonts w:eastAsia="平成明朝"/>
                <w:color w:val="000000"/>
                <w:szCs w:val="24"/>
                <w:lang w:val="en-US" w:eastAsia="en-US"/>
              </w:rPr>
              <w:t>. Provide e</w:t>
            </w:r>
            <w:r w:rsidRPr="00B114BE">
              <w:rPr>
                <w:rFonts w:eastAsia="平成明朝"/>
                <w:color w:val="000000"/>
                <w:szCs w:val="24"/>
                <w:lang w:val="en-US" w:eastAsia="en-US"/>
              </w:rPr>
              <w:t>xecutive summary of the performed activities and</w:t>
            </w:r>
            <w:r>
              <w:rPr>
                <w:rFonts w:eastAsia="平成明朝"/>
                <w:color w:val="000000"/>
                <w:szCs w:val="24"/>
                <w:lang w:val="en-US" w:eastAsia="en-US"/>
              </w:rPr>
              <w:t xml:space="preserve"> </w:t>
            </w:r>
            <w:r w:rsidRPr="00B114BE">
              <w:rPr>
                <w:rFonts w:eastAsia="平成明朝"/>
                <w:color w:val="000000"/>
                <w:szCs w:val="24"/>
                <w:lang w:val="en-US" w:eastAsia="en-US"/>
              </w:rPr>
              <w:t>draft next steps of engineering, project and integration design, for support to the Port Plug Diagnostics Division</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844DE" w:rsidRPr="00D844DE" w:rsidRDefault="00D844DE" w:rsidP="00B04E3E">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+ 12 months</w:t>
            </w:r>
          </w:p>
        </w:tc>
        <w:tc>
          <w:tcPr>
            <w:tcW w:w="1421" w:type="dxa"/>
            <w:tcBorders>
              <w:top w:val="single" w:sz="4" w:space="0" w:color="auto"/>
              <w:left w:val="nil"/>
              <w:bottom w:val="single" w:sz="8" w:space="0" w:color="auto"/>
              <w:right w:val="single" w:sz="8" w:space="0" w:color="auto"/>
            </w:tcBorders>
            <w:shd w:val="clear" w:color="auto" w:fill="FFFFFF"/>
            <w:vAlign w:val="center"/>
          </w:tcPr>
          <w:p w:rsidR="00D844DE" w:rsidRPr="00D844DE" w:rsidRDefault="00D844DE" w:rsidP="00D844DE">
            <w:pPr>
              <w:spacing w:before="100" w:beforeAutospacing="1" w:after="100" w:afterAutospacing="1"/>
              <w:jc w:val="center"/>
              <w:rPr>
                <w:rFonts w:eastAsia="平成明朝"/>
                <w:szCs w:val="24"/>
                <w:lang w:val="en-US" w:eastAsia="en-US"/>
              </w:rPr>
            </w:pPr>
          </w:p>
        </w:tc>
      </w:tr>
      <w:tr w:rsidR="00D844DE" w:rsidTr="005E1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75" w:type="dxa"/>
          <w:trHeight w:val="531"/>
        </w:trPr>
        <w:tc>
          <w:tcPr>
            <w:tcW w:w="7651" w:type="dxa"/>
            <w:gridSpan w:val="2"/>
            <w:vAlign w:val="center"/>
          </w:tcPr>
          <w:p w:rsidR="00D844DE" w:rsidRPr="00394059" w:rsidRDefault="00D844DE" w:rsidP="00C95589">
            <w:pPr>
              <w:spacing w:after="0"/>
              <w:jc w:val="center"/>
              <w:rPr>
                <w:b/>
              </w:rPr>
            </w:pPr>
            <w:r>
              <w:br w:type="page"/>
            </w:r>
            <w:r w:rsidR="00394059" w:rsidRPr="00394059">
              <w:rPr>
                <w:b/>
              </w:rPr>
              <w:t>TOTAL PRICE (EUR)</w:t>
            </w:r>
          </w:p>
        </w:tc>
        <w:tc>
          <w:tcPr>
            <w:tcW w:w="1421" w:type="dxa"/>
            <w:vAlign w:val="center"/>
          </w:tcPr>
          <w:p w:rsidR="00D844DE" w:rsidRDefault="00D844DE" w:rsidP="00D844DE">
            <w:pPr>
              <w:spacing w:after="0"/>
              <w:jc w:val="center"/>
            </w:pPr>
          </w:p>
        </w:tc>
      </w:tr>
    </w:tbl>
    <w:p w:rsidR="002101ED" w:rsidRDefault="002101ED"/>
    <w:p w:rsidR="00C82806" w:rsidRDefault="00F06306" w:rsidP="005D235E">
      <w:pPr>
        <w:spacing w:before="120" w:after="12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4B7A65" w:rsidRPr="004B7A65">
        <w:rPr>
          <w:szCs w:val="24"/>
          <w:lang w:val="en-US"/>
        </w:rPr>
        <w:t>UQFVUK v1.1 dated 11th April 2017</w:t>
      </w:r>
      <w:r w:rsidR="00C95589">
        <w:rPr>
          <w:szCs w:val="24"/>
          <w:lang w:val="en-US"/>
        </w:rPr>
        <w:t>.</w:t>
      </w:r>
    </w:p>
    <w:p w:rsidR="00B114BE" w:rsidRDefault="00B114BE" w:rsidP="005D235E">
      <w:pPr>
        <w:spacing w:before="120" w:after="120"/>
        <w:rPr>
          <w:bCs/>
          <w:szCs w:val="24"/>
        </w:rPr>
      </w:pPr>
    </w:p>
    <w:p w:rsidR="00B114BE" w:rsidRDefault="00B114BE" w:rsidP="005D235E">
      <w:pPr>
        <w:spacing w:before="120" w:after="120"/>
        <w:rPr>
          <w:bCs/>
          <w:szCs w:val="24"/>
        </w:rPr>
      </w:pPr>
    </w:p>
    <w:p w:rsidR="00B114BE" w:rsidRDefault="00B114BE" w:rsidP="005D235E">
      <w:pPr>
        <w:spacing w:before="120" w:after="120"/>
        <w:rPr>
          <w:bCs/>
          <w:szCs w:val="24"/>
        </w:rPr>
      </w:pPr>
    </w:p>
    <w:p w:rsidR="00B114BE" w:rsidRDefault="00B114BE" w:rsidP="005D235E">
      <w:pPr>
        <w:spacing w:before="120" w:after="120"/>
        <w:rPr>
          <w:bCs/>
          <w:szCs w:val="24"/>
        </w:rPr>
      </w:pPr>
    </w:p>
    <w:p w:rsidR="00B114BE" w:rsidRDefault="00B114BE" w:rsidP="005D235E">
      <w:pPr>
        <w:spacing w:before="120" w:after="120"/>
        <w:rPr>
          <w:bCs/>
          <w:szCs w:val="24"/>
        </w:rPr>
      </w:pPr>
    </w:p>
    <w:p w:rsidR="00B114BE" w:rsidRDefault="00B114BE" w:rsidP="005D235E">
      <w:pPr>
        <w:spacing w:before="120" w:after="120"/>
        <w:rPr>
          <w:bCs/>
          <w:szCs w:val="24"/>
        </w:rPr>
      </w:pPr>
    </w:p>
    <w:p w:rsidR="00EB462B" w:rsidRPr="009C158F" w:rsidRDefault="009C158F" w:rsidP="005D235E">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5D235E">
        <w:rPr>
          <w:szCs w:val="24"/>
        </w:rPr>
        <w:t>T</w:t>
      </w:r>
      <w:r w:rsidR="005D235E" w:rsidRPr="005D235E">
        <w:rPr>
          <w:szCs w:val="24"/>
        </w:rPr>
        <w:t xml:space="preserve">echnical Specification </w:t>
      </w:r>
      <w:r w:rsidR="00C82806" w:rsidRPr="00C82806">
        <w:rPr>
          <w:szCs w:val="24"/>
          <w:lang w:val="en-US"/>
        </w:rPr>
        <w:t>ITER_D_</w:t>
      </w:r>
      <w:r w:rsidR="004B7A65" w:rsidRPr="004B7A65">
        <w:rPr>
          <w:szCs w:val="24"/>
          <w:lang w:val="en-US"/>
        </w:rPr>
        <w:t>UQFVUK v1.1 dated 11th April 2017</w:t>
      </w:r>
      <w:r w:rsidR="00C82806">
        <w:rPr>
          <w:szCs w:val="24"/>
          <w:lang w:val="en-US"/>
        </w:rPr>
        <w:t xml:space="preserve"> </w:t>
      </w:r>
      <w:r w:rsidR="00EB462B" w:rsidRPr="009C158F">
        <w:rPr>
          <w:bCs/>
          <w:szCs w:val="24"/>
        </w:rPr>
        <w:t xml:space="preserve">and upon receipt of a correctly rendered invoice. </w:t>
      </w: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A556EB" w:rsidRDefault="00A556EB"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A556EB" w:rsidRDefault="00A556EB"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5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CC669E" w:rsidRPr="00155605" w:rsidTr="00CC669E">
        <w:trPr>
          <w:trHeight w:val="517"/>
        </w:trPr>
        <w:tc>
          <w:tcPr>
            <w:tcW w:w="9004" w:type="dxa"/>
            <w:vAlign w:val="center"/>
          </w:tcPr>
          <w:p w:rsidR="00CC669E" w:rsidRPr="00D570F2" w:rsidRDefault="00CC669E" w:rsidP="00CC669E">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IO/17/CFE/14129/JTR</w:t>
            </w:r>
          </w:p>
        </w:tc>
      </w:tr>
    </w:tbl>
    <w:p w:rsidR="00CC669E" w:rsidRDefault="00CC669E" w:rsidP="008A0226">
      <w:pPr>
        <w:spacing w:before="120" w:after="120"/>
        <w:ind w:left="-147"/>
        <w:jc w:val="left"/>
        <w:rPr>
          <w:b/>
          <w:szCs w:val="24"/>
          <w:u w:val="single"/>
        </w:rPr>
      </w:pPr>
    </w:p>
    <w:p w:rsidR="00CC669E" w:rsidRDefault="00CC669E"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9720B2" w:rsidP="009720B2">
      <w:pPr>
        <w:tabs>
          <w:tab w:val="left" w:pos="8040"/>
        </w:tabs>
        <w:spacing w:before="120" w:after="120"/>
        <w:ind w:left="-147"/>
        <w:jc w:val="left"/>
        <w:rPr>
          <w:b/>
          <w:i/>
          <w:szCs w:val="24"/>
        </w:rPr>
      </w:pPr>
      <w:r>
        <w:rPr>
          <w:b/>
          <w:i/>
          <w:szCs w:val="24"/>
        </w:rPr>
        <w:tab/>
      </w: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088"/>
        <w:gridCol w:w="1417"/>
      </w:tblGrid>
      <w:tr w:rsidR="00CE4150" w:rsidRPr="002101ED" w:rsidTr="00C95589">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088"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417"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C95589">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95589">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95589">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95589">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95589">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088"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417"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C107E9" w:rsidRDefault="00C107E9"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AC748F" w:rsidRDefault="00AC748F"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B9D" w:rsidRDefault="001C2B9D">
      <w:pPr>
        <w:spacing w:after="0"/>
      </w:pPr>
      <w:r>
        <w:separator/>
      </w:r>
    </w:p>
  </w:endnote>
  <w:endnote w:type="continuationSeparator" w:id="0">
    <w:p w:rsidR="001C2B9D" w:rsidRDefault="001C2B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37B15">
      <w:rPr>
        <w:rFonts w:ascii="Times New Roman" w:hAnsi="Times New Roman"/>
        <w:b/>
        <w:sz w:val="22"/>
        <w:szCs w:val="22"/>
      </w:rPr>
      <w:t>7</w:t>
    </w:r>
    <w:r w:rsidRPr="001601C1">
      <w:rPr>
        <w:rFonts w:ascii="Times New Roman" w:hAnsi="Times New Roman"/>
        <w:b/>
        <w:sz w:val="22"/>
        <w:szCs w:val="22"/>
      </w:rPr>
      <w:t>/CFE/1</w:t>
    </w:r>
    <w:r w:rsidR="009720B2">
      <w:rPr>
        <w:rFonts w:ascii="Times New Roman" w:hAnsi="Times New Roman"/>
        <w:b/>
        <w:sz w:val="22"/>
        <w:szCs w:val="22"/>
      </w:rPr>
      <w:t>4129</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C75F5">
      <w:rPr>
        <w:rFonts w:ascii="Times New Roman" w:hAnsi="Times New Roman"/>
        <w:b/>
        <w:sz w:val="22"/>
        <w:szCs w:val="22"/>
      </w:rPr>
      <w:t>7</w:t>
    </w:r>
    <w:r w:rsidRPr="001601C1">
      <w:rPr>
        <w:rFonts w:ascii="Times New Roman" w:hAnsi="Times New Roman"/>
        <w:b/>
        <w:sz w:val="22"/>
        <w:szCs w:val="22"/>
      </w:rPr>
      <w:t>/CFE/1</w:t>
    </w:r>
    <w:r w:rsidR="002C75F5">
      <w:rPr>
        <w:rFonts w:ascii="Times New Roman" w:hAnsi="Times New Roman"/>
        <w:b/>
        <w:sz w:val="22"/>
        <w:szCs w:val="22"/>
      </w:rPr>
      <w:t>4129</w:t>
    </w:r>
    <w:r w:rsidRPr="001601C1">
      <w:rPr>
        <w:rFonts w:ascii="Times New Roman" w:hAnsi="Times New Roman"/>
        <w:b/>
        <w:sz w:val="22"/>
        <w:szCs w:val="22"/>
      </w:rPr>
      <w:t>/JTR</w:t>
    </w:r>
  </w:p>
  <w:p w:rsidR="002C75F5" w:rsidRDefault="002C75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B9D" w:rsidRDefault="001C2B9D">
      <w:pPr>
        <w:spacing w:after="0"/>
      </w:pPr>
      <w:r>
        <w:separator/>
      </w:r>
    </w:p>
  </w:footnote>
  <w:footnote w:type="continuationSeparator" w:id="0">
    <w:p w:rsidR="001C2B9D" w:rsidRDefault="001C2B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9720B2" w:rsidP="00CC669E">
    <w:pPr>
      <w:tabs>
        <w:tab w:val="center" w:pos="4153"/>
        <w:tab w:val="right" w:pos="8306"/>
      </w:tabs>
      <w:spacing w:after="0"/>
      <w:jc w:val="center"/>
    </w:pPr>
    <w:r w:rsidRPr="002C75F5">
      <w:rPr>
        <w:rFonts w:eastAsia="SimSun"/>
        <w:b/>
        <w:i/>
        <w:sz w:val="32"/>
        <w:szCs w:val="32"/>
      </w:rPr>
      <w:t>Project Integration of ITER Neutron Diagnostics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F5" w:rsidRDefault="002C75F5" w:rsidP="002C75F5">
    <w:pPr>
      <w:tabs>
        <w:tab w:val="center" w:pos="4153"/>
        <w:tab w:val="right" w:pos="8306"/>
      </w:tabs>
      <w:spacing w:after="0"/>
      <w:jc w:val="center"/>
    </w:pPr>
    <w:r w:rsidRPr="002C75F5">
      <w:rPr>
        <w:rFonts w:eastAsia="SimSun"/>
        <w:b/>
        <w:i/>
        <w:sz w:val="32"/>
        <w:szCs w:val="32"/>
      </w:rPr>
      <w:t>Project Integration of ITER Neutron Diagnostics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6513F"/>
    <w:rsid w:val="000706C9"/>
    <w:rsid w:val="0007468B"/>
    <w:rsid w:val="00083065"/>
    <w:rsid w:val="0008501F"/>
    <w:rsid w:val="00090778"/>
    <w:rsid w:val="0009618B"/>
    <w:rsid w:val="000972D6"/>
    <w:rsid w:val="000A00FE"/>
    <w:rsid w:val="000A3C77"/>
    <w:rsid w:val="000B2EB0"/>
    <w:rsid w:val="000D4B19"/>
    <w:rsid w:val="000E780E"/>
    <w:rsid w:val="00101D8B"/>
    <w:rsid w:val="00104F2C"/>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C2B9D"/>
    <w:rsid w:val="001E5681"/>
    <w:rsid w:val="001F3191"/>
    <w:rsid w:val="001F42F3"/>
    <w:rsid w:val="001F56E5"/>
    <w:rsid w:val="002101ED"/>
    <w:rsid w:val="00210F8D"/>
    <w:rsid w:val="0022339E"/>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C75F5"/>
    <w:rsid w:val="002D37F9"/>
    <w:rsid w:val="002F5006"/>
    <w:rsid w:val="002F7447"/>
    <w:rsid w:val="00320998"/>
    <w:rsid w:val="00343F44"/>
    <w:rsid w:val="00346978"/>
    <w:rsid w:val="003544DD"/>
    <w:rsid w:val="00376C4B"/>
    <w:rsid w:val="00390D90"/>
    <w:rsid w:val="00394059"/>
    <w:rsid w:val="003A063A"/>
    <w:rsid w:val="003A5D3E"/>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B7A65"/>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5F9D"/>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20B2"/>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5EE2"/>
    <w:rsid w:val="00A10157"/>
    <w:rsid w:val="00A10D50"/>
    <w:rsid w:val="00A138B0"/>
    <w:rsid w:val="00A14675"/>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4E3E"/>
    <w:rsid w:val="00B114BE"/>
    <w:rsid w:val="00B713D5"/>
    <w:rsid w:val="00B8200C"/>
    <w:rsid w:val="00BB280A"/>
    <w:rsid w:val="00BC074C"/>
    <w:rsid w:val="00BC391F"/>
    <w:rsid w:val="00BC5EF3"/>
    <w:rsid w:val="00BD42DF"/>
    <w:rsid w:val="00BD53B0"/>
    <w:rsid w:val="00BD6119"/>
    <w:rsid w:val="00BE013E"/>
    <w:rsid w:val="00BE4875"/>
    <w:rsid w:val="00C0560C"/>
    <w:rsid w:val="00C107E9"/>
    <w:rsid w:val="00C37B55"/>
    <w:rsid w:val="00C44BD6"/>
    <w:rsid w:val="00C542D4"/>
    <w:rsid w:val="00C54FBE"/>
    <w:rsid w:val="00C630B6"/>
    <w:rsid w:val="00C70E4B"/>
    <w:rsid w:val="00C82806"/>
    <w:rsid w:val="00C87270"/>
    <w:rsid w:val="00C90C17"/>
    <w:rsid w:val="00C95589"/>
    <w:rsid w:val="00CA28D3"/>
    <w:rsid w:val="00CA35BA"/>
    <w:rsid w:val="00CB001B"/>
    <w:rsid w:val="00CB05B2"/>
    <w:rsid w:val="00CB394C"/>
    <w:rsid w:val="00CB60C3"/>
    <w:rsid w:val="00CC669E"/>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3</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120</cp:revision>
  <cp:lastPrinted>2016-04-25T08:45:00Z</cp:lastPrinted>
  <dcterms:created xsi:type="dcterms:W3CDTF">2013-03-08T15:54:00Z</dcterms:created>
  <dcterms:modified xsi:type="dcterms:W3CDTF">2017-05-04T15:15:00Z</dcterms:modified>
</cp:coreProperties>
</file>